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F1789" w14:textId="1F238D95" w:rsidR="00807CD1" w:rsidRPr="00807CD1" w:rsidRDefault="00807CD1" w:rsidP="00807CD1">
      <w:pPr>
        <w:spacing w:after="0" w:line="240" w:lineRule="auto"/>
        <w:jc w:val="both"/>
        <w:rPr>
          <w:rFonts w:ascii="Times New Roman" w:eastAsia="Calibri" w:hAnsi="Times New Roman" w:cs="Times New Roman"/>
          <w:sz w:val="24"/>
          <w:szCs w:val="24"/>
          <w:lang w:eastAsia="pt-BR"/>
        </w:rPr>
      </w:pPr>
    </w:p>
    <w:p w14:paraId="410EEB9A" w14:textId="1184808D" w:rsidR="00273CBD" w:rsidRPr="00273CBD" w:rsidRDefault="00273CBD" w:rsidP="00273CBD">
      <w:pPr>
        <w:spacing w:after="0" w:line="240" w:lineRule="auto"/>
        <w:rPr>
          <w:rFonts w:ascii="Courier New" w:hAnsi="Courier New" w:cs="Courier New"/>
          <w:b/>
          <w:sz w:val="24"/>
          <w:szCs w:val="24"/>
          <w:lang w:eastAsia="pt-BR"/>
        </w:rPr>
      </w:pPr>
      <w:r w:rsidRPr="00273CBD">
        <w:rPr>
          <w:rFonts w:ascii="Courier New" w:hAnsi="Courier New" w:cs="Courier New"/>
          <w:b/>
          <w:sz w:val="24"/>
          <w:szCs w:val="24"/>
          <w:lang w:eastAsia="pt-BR"/>
        </w:rPr>
        <w:t>RESOLUÇÃO Nº 0</w:t>
      </w:r>
      <w:r w:rsidR="005737B6">
        <w:rPr>
          <w:rFonts w:ascii="Courier New" w:hAnsi="Courier New" w:cs="Courier New"/>
          <w:b/>
          <w:sz w:val="24"/>
          <w:szCs w:val="24"/>
          <w:lang w:eastAsia="pt-BR"/>
        </w:rPr>
        <w:t>5</w:t>
      </w:r>
      <w:r w:rsidR="00AD0D60">
        <w:rPr>
          <w:rFonts w:ascii="Courier New" w:hAnsi="Courier New" w:cs="Courier New"/>
          <w:b/>
          <w:sz w:val="24"/>
          <w:szCs w:val="24"/>
          <w:lang w:eastAsia="pt-BR"/>
        </w:rPr>
        <w:t>4</w:t>
      </w:r>
      <w:r w:rsidR="005737B6">
        <w:rPr>
          <w:rFonts w:ascii="Courier New" w:hAnsi="Courier New" w:cs="Courier New"/>
          <w:b/>
          <w:sz w:val="24"/>
          <w:szCs w:val="24"/>
          <w:lang w:eastAsia="pt-BR"/>
        </w:rPr>
        <w:t>/</w:t>
      </w:r>
      <w:r w:rsidRPr="00273CBD">
        <w:rPr>
          <w:rFonts w:ascii="Courier New" w:hAnsi="Courier New" w:cs="Courier New"/>
          <w:b/>
          <w:sz w:val="24"/>
          <w:szCs w:val="24"/>
          <w:lang w:eastAsia="pt-BR"/>
        </w:rPr>
        <w:t>202</w:t>
      </w:r>
      <w:r w:rsidR="00C237B6">
        <w:rPr>
          <w:rFonts w:ascii="Courier New" w:hAnsi="Courier New" w:cs="Courier New"/>
          <w:b/>
          <w:sz w:val="24"/>
          <w:szCs w:val="24"/>
          <w:lang w:eastAsia="pt-BR"/>
        </w:rPr>
        <w:t>3</w:t>
      </w:r>
      <w:r w:rsidRPr="00273CBD">
        <w:rPr>
          <w:rFonts w:ascii="Courier New" w:hAnsi="Courier New" w:cs="Courier New"/>
          <w:b/>
          <w:sz w:val="24"/>
          <w:szCs w:val="24"/>
          <w:lang w:eastAsia="pt-BR"/>
        </w:rPr>
        <w:t>.</w:t>
      </w:r>
    </w:p>
    <w:p w14:paraId="747144C4" w14:textId="4C88B0EA" w:rsidR="00273CBD" w:rsidRDefault="00B82AAD" w:rsidP="00273CBD">
      <w:pPr>
        <w:spacing w:after="0" w:line="240" w:lineRule="auto"/>
        <w:ind w:right="4534"/>
        <w:jc w:val="both"/>
        <w:rPr>
          <w:rFonts w:ascii="Courier New" w:hAnsi="Courier New" w:cs="Courier New"/>
          <w:b/>
          <w:sz w:val="24"/>
          <w:szCs w:val="24"/>
          <w:lang w:eastAsia="pt-BR"/>
        </w:rPr>
      </w:pPr>
      <w:r>
        <w:rPr>
          <w:rFonts w:ascii="Courier New" w:hAnsi="Courier New" w:cs="Courier New"/>
          <w:b/>
          <w:sz w:val="24"/>
          <w:szCs w:val="24"/>
          <w:lang w:eastAsia="pt-BR"/>
        </w:rPr>
        <w:t xml:space="preserve">DATA: </w:t>
      </w:r>
      <w:r w:rsidR="005737B6">
        <w:rPr>
          <w:rFonts w:ascii="Courier New" w:hAnsi="Courier New" w:cs="Courier New"/>
          <w:b/>
          <w:sz w:val="24"/>
          <w:szCs w:val="24"/>
          <w:lang w:eastAsia="pt-BR"/>
        </w:rPr>
        <w:t>10</w:t>
      </w:r>
      <w:r>
        <w:rPr>
          <w:rFonts w:ascii="Courier New" w:hAnsi="Courier New" w:cs="Courier New"/>
          <w:b/>
          <w:sz w:val="24"/>
          <w:szCs w:val="24"/>
          <w:lang w:eastAsia="pt-BR"/>
        </w:rPr>
        <w:t xml:space="preserve"> DE </w:t>
      </w:r>
      <w:r w:rsidR="005737B6">
        <w:rPr>
          <w:rFonts w:ascii="Courier New" w:hAnsi="Courier New" w:cs="Courier New"/>
          <w:b/>
          <w:sz w:val="24"/>
          <w:szCs w:val="24"/>
          <w:lang w:eastAsia="pt-BR"/>
        </w:rPr>
        <w:t>MAIO</w:t>
      </w:r>
      <w:r>
        <w:rPr>
          <w:rFonts w:ascii="Courier New" w:hAnsi="Courier New" w:cs="Courier New"/>
          <w:b/>
          <w:sz w:val="24"/>
          <w:szCs w:val="24"/>
          <w:lang w:eastAsia="pt-BR"/>
        </w:rPr>
        <w:t xml:space="preserve"> 202</w:t>
      </w:r>
      <w:r w:rsidR="00C237B6">
        <w:rPr>
          <w:rFonts w:ascii="Courier New" w:hAnsi="Courier New" w:cs="Courier New"/>
          <w:b/>
          <w:sz w:val="24"/>
          <w:szCs w:val="24"/>
          <w:lang w:eastAsia="pt-BR"/>
        </w:rPr>
        <w:t>3</w:t>
      </w:r>
      <w:r>
        <w:rPr>
          <w:rFonts w:ascii="Courier New" w:hAnsi="Courier New" w:cs="Courier New"/>
          <w:b/>
          <w:sz w:val="24"/>
          <w:szCs w:val="24"/>
          <w:lang w:eastAsia="pt-BR"/>
        </w:rPr>
        <w:t>.</w:t>
      </w:r>
    </w:p>
    <w:p w14:paraId="0B8C16C5" w14:textId="77777777" w:rsidR="0020184C" w:rsidRPr="00273CBD" w:rsidRDefault="0020184C" w:rsidP="00273CBD">
      <w:pPr>
        <w:spacing w:after="0" w:line="240" w:lineRule="auto"/>
        <w:ind w:right="4534"/>
        <w:jc w:val="both"/>
        <w:rPr>
          <w:rFonts w:ascii="Courier New" w:hAnsi="Courier New" w:cs="Courier New"/>
          <w:b/>
          <w:sz w:val="24"/>
          <w:szCs w:val="24"/>
          <w:lang w:eastAsia="pt-BR"/>
        </w:rPr>
      </w:pPr>
    </w:p>
    <w:p w14:paraId="0802F978" w14:textId="373872DF" w:rsidR="00273CBD" w:rsidRPr="00273CBD" w:rsidRDefault="00273CBD" w:rsidP="00273CBD">
      <w:pPr>
        <w:spacing w:after="0" w:line="240" w:lineRule="auto"/>
        <w:ind w:right="4534"/>
        <w:jc w:val="both"/>
        <w:rPr>
          <w:rFonts w:ascii="Courier New" w:hAnsi="Courier New" w:cs="Courier New"/>
          <w:b/>
          <w:sz w:val="24"/>
          <w:szCs w:val="24"/>
          <w:lang w:eastAsia="pt-BR"/>
        </w:rPr>
      </w:pPr>
      <w:r w:rsidRPr="00273CBD">
        <w:rPr>
          <w:rFonts w:ascii="Courier New" w:hAnsi="Courier New" w:cs="Courier New"/>
          <w:b/>
          <w:sz w:val="24"/>
          <w:szCs w:val="24"/>
          <w:lang w:eastAsia="pt-BR"/>
        </w:rPr>
        <w:t xml:space="preserve">SÚMULA: </w:t>
      </w:r>
      <w:r w:rsidR="00AD0D60">
        <w:rPr>
          <w:rFonts w:ascii="Courier New" w:hAnsi="Courier New" w:cs="Courier New"/>
          <w:bCs/>
          <w:i/>
          <w:iCs/>
          <w:sz w:val="24"/>
          <w:szCs w:val="24"/>
          <w:lang w:eastAsia="pt-BR"/>
        </w:rPr>
        <w:t>REGULAMENTA O DISPOSTO NO ARTIGO 20 DA LEI N° 14.133, DE 1° DE ABRIL DE 2021, PARA ESTABELECER O ENQUADRAMENTO DOS BENS DE CONSUMO ADQUIRIDOS PARA SUPRIR AS DEMANDAS DO PODER LEGISLATIVO DE ITANHANGÁ/MT NAS CATEGORIAS DE QUALIDADE COMUM E DE LUXO.</w:t>
      </w:r>
    </w:p>
    <w:p w14:paraId="75291DB3" w14:textId="62728369" w:rsidR="00273CBD" w:rsidRDefault="00273CBD" w:rsidP="00273CBD">
      <w:pPr>
        <w:spacing w:after="0" w:line="240" w:lineRule="auto"/>
        <w:ind w:right="4534"/>
        <w:jc w:val="both"/>
        <w:rPr>
          <w:rFonts w:ascii="Courier New" w:hAnsi="Courier New" w:cs="Courier New"/>
          <w:b/>
          <w:sz w:val="24"/>
          <w:szCs w:val="24"/>
          <w:lang w:eastAsia="pt-BR"/>
        </w:rPr>
      </w:pPr>
    </w:p>
    <w:p w14:paraId="5E283932" w14:textId="77777777" w:rsidR="00C237B6" w:rsidRPr="00273CBD" w:rsidRDefault="00C237B6" w:rsidP="00273CBD">
      <w:pPr>
        <w:spacing w:after="0" w:line="240" w:lineRule="auto"/>
        <w:ind w:right="4534"/>
        <w:jc w:val="both"/>
        <w:rPr>
          <w:rFonts w:ascii="Courier New" w:hAnsi="Courier New" w:cs="Courier New"/>
          <w:b/>
          <w:sz w:val="24"/>
          <w:szCs w:val="24"/>
          <w:lang w:eastAsia="pt-BR"/>
        </w:rPr>
      </w:pPr>
    </w:p>
    <w:p w14:paraId="7BC21121" w14:textId="018BCD52" w:rsidR="00273CBD" w:rsidRDefault="00273CBD" w:rsidP="00273CBD">
      <w:pPr>
        <w:spacing w:after="0" w:line="240" w:lineRule="auto"/>
        <w:ind w:firstLine="1418"/>
        <w:jc w:val="both"/>
        <w:rPr>
          <w:rFonts w:ascii="Courier New" w:eastAsia="Calibri" w:hAnsi="Courier New" w:cs="Courier New"/>
          <w:sz w:val="24"/>
          <w:szCs w:val="24"/>
          <w:lang w:eastAsia="pt-BR"/>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p>
    <w:p w14:paraId="6B507703" w14:textId="1F814CA4" w:rsidR="009B7E79" w:rsidRDefault="009B7E79" w:rsidP="00273CBD">
      <w:pPr>
        <w:spacing w:after="0" w:line="240" w:lineRule="auto"/>
        <w:ind w:firstLine="1418"/>
        <w:jc w:val="both"/>
        <w:rPr>
          <w:rFonts w:ascii="Courier New" w:eastAsia="Calibri" w:hAnsi="Courier New" w:cs="Courier New"/>
          <w:sz w:val="24"/>
          <w:szCs w:val="24"/>
          <w:lang w:eastAsia="pt-BR"/>
        </w:rPr>
      </w:pPr>
    </w:p>
    <w:p w14:paraId="3E65E60D" w14:textId="77777777" w:rsidR="00A70EB6" w:rsidRDefault="00A70EB6" w:rsidP="00273CBD">
      <w:pPr>
        <w:spacing w:after="0" w:line="240" w:lineRule="auto"/>
        <w:ind w:firstLine="1418"/>
        <w:jc w:val="both"/>
        <w:rPr>
          <w:rFonts w:ascii="Courier New" w:eastAsia="Calibri" w:hAnsi="Courier New" w:cs="Courier New"/>
          <w:sz w:val="24"/>
          <w:szCs w:val="24"/>
          <w:lang w:eastAsia="pt-BR"/>
        </w:rPr>
      </w:pPr>
    </w:p>
    <w:p w14:paraId="370383D2" w14:textId="77777777" w:rsidR="005737B6" w:rsidRPr="00DA73EA" w:rsidRDefault="005737B6" w:rsidP="005737B6">
      <w:pPr>
        <w:spacing w:after="0" w:line="360" w:lineRule="auto"/>
        <w:ind w:firstLine="708"/>
        <w:jc w:val="both"/>
        <w:rPr>
          <w:rFonts w:ascii="Courier New" w:eastAsia="Arial" w:hAnsi="Courier New" w:cs="Courier New"/>
          <w:b/>
          <w:highlight w:val="white"/>
          <w:lang w:val="pt-PT" w:eastAsia="pt-BR"/>
        </w:rPr>
      </w:pPr>
      <w:bookmarkStart w:id="0" w:name="_Hlk9540018"/>
    </w:p>
    <w:p w14:paraId="58C64209" w14:textId="77777777" w:rsidR="00AD0D60" w:rsidRDefault="00AD0D60" w:rsidP="00AD0D60">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1º</w:t>
      </w:r>
      <w:r>
        <w:rPr>
          <w:rFonts w:ascii="Courier New" w:eastAsia="Times New Roman" w:hAnsi="Courier New" w:cs="Courier New"/>
          <w:color w:val="000000"/>
          <w:sz w:val="24"/>
          <w:szCs w:val="24"/>
          <w:lang w:eastAsia="pt-BR"/>
        </w:rPr>
        <w:t xml:space="preserve"> - A presente Resolução regulamenta o disposto no artigo 20, da Lei Federal nº. 14.133, de 1º de abril de 2021, para estabelecer o enquadramento dos bens de consumo nas categorias de qualidade comum e de luxo, no âmbito do Poder Legislativo do Município de Itanhangá/MT.</w:t>
      </w:r>
    </w:p>
    <w:p w14:paraId="48E02E9B"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5B68DA41" w14:textId="77777777" w:rsidR="00AD0D60" w:rsidRDefault="00AD0D60" w:rsidP="00AD0D60">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2º</w:t>
      </w:r>
      <w:r>
        <w:rPr>
          <w:rFonts w:ascii="Courier New" w:eastAsia="Times New Roman" w:hAnsi="Courier New" w:cs="Courier New"/>
          <w:color w:val="000000"/>
          <w:sz w:val="24"/>
          <w:szCs w:val="24"/>
          <w:lang w:eastAsia="pt-BR"/>
        </w:rPr>
        <w:t xml:space="preserve"> - Para fins do disposto nesta Resolução, considera-se:</w:t>
      </w:r>
    </w:p>
    <w:p w14:paraId="6089E9AB"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25D64134"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w:t>
      </w:r>
      <w:r>
        <w:rPr>
          <w:rFonts w:ascii="Courier New" w:eastAsia="Times New Roman" w:hAnsi="Courier New" w:cs="Courier New"/>
          <w:color w:val="000000"/>
          <w:sz w:val="24"/>
          <w:szCs w:val="24"/>
          <w:lang w:eastAsia="pt-BR"/>
        </w:rPr>
        <w:t xml:space="preserve"> - Bem de luxo: bem de consumo com alta elasticidade-renda da demanda, identificável por meio de características tais como:</w:t>
      </w:r>
    </w:p>
    <w:p w14:paraId="279039F0"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630B820E"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w:t>
      </w:r>
      <w:r>
        <w:rPr>
          <w:rFonts w:ascii="Courier New" w:eastAsia="Times New Roman" w:hAnsi="Courier New" w:cs="Courier New"/>
          <w:color w:val="000000"/>
          <w:sz w:val="24"/>
          <w:szCs w:val="24"/>
          <w:lang w:eastAsia="pt-BR"/>
        </w:rPr>
        <w:t xml:space="preserve"> ostentação: demonstração de pompa, luxo, esplendor, em atos públicos ou particulares;</w:t>
      </w:r>
    </w:p>
    <w:p w14:paraId="4B893312"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6979072A"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b)</w:t>
      </w:r>
      <w:r>
        <w:rPr>
          <w:rFonts w:ascii="Courier New" w:eastAsia="Times New Roman" w:hAnsi="Courier New" w:cs="Courier New"/>
          <w:color w:val="000000"/>
          <w:sz w:val="24"/>
          <w:szCs w:val="24"/>
          <w:lang w:eastAsia="pt-BR"/>
        </w:rPr>
        <w:t xml:space="preserve"> opulência: abundância de riqueza, requintada, luxuosa, esplendorosa;</w:t>
      </w:r>
    </w:p>
    <w:p w14:paraId="6314B6FD"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2CBCF4DB"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c)</w:t>
      </w:r>
      <w:r>
        <w:rPr>
          <w:rFonts w:ascii="Courier New" w:eastAsia="Times New Roman" w:hAnsi="Courier New" w:cs="Courier New"/>
          <w:color w:val="000000"/>
          <w:sz w:val="24"/>
          <w:szCs w:val="24"/>
          <w:lang w:eastAsia="pt-BR"/>
        </w:rPr>
        <w:t xml:space="preserve"> forte apelo estético: chamamento para o lindo, para o maravilhoso;</w:t>
      </w:r>
    </w:p>
    <w:p w14:paraId="680A5371"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6F3006BE"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d)</w:t>
      </w:r>
      <w:r>
        <w:rPr>
          <w:rFonts w:ascii="Courier New" w:eastAsia="Times New Roman" w:hAnsi="Courier New" w:cs="Courier New"/>
          <w:color w:val="000000"/>
          <w:sz w:val="24"/>
          <w:szCs w:val="24"/>
          <w:lang w:eastAsia="pt-BR"/>
        </w:rPr>
        <w:t xml:space="preserve"> requinte: excesso de refinamento, transbordamento de delicadeza;</w:t>
      </w:r>
    </w:p>
    <w:p w14:paraId="207F880F"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5793639E"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w:t>
      </w:r>
      <w:r>
        <w:rPr>
          <w:rFonts w:ascii="Courier New" w:eastAsia="Times New Roman" w:hAnsi="Courier New" w:cs="Courier New"/>
          <w:color w:val="000000"/>
          <w:sz w:val="24"/>
          <w:szCs w:val="24"/>
          <w:lang w:eastAsia="pt-BR"/>
        </w:rPr>
        <w:t xml:space="preserve"> - Bem de qualidade comum: bem de consumo com baixa ou moderada elasticidade-renda da demanda;</w:t>
      </w:r>
    </w:p>
    <w:p w14:paraId="4C6178C4"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5262E546"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lastRenderedPageBreak/>
        <w:t>III</w:t>
      </w:r>
      <w:r>
        <w:rPr>
          <w:rFonts w:ascii="Courier New" w:eastAsia="Times New Roman" w:hAnsi="Courier New" w:cs="Courier New"/>
          <w:color w:val="000000"/>
          <w:sz w:val="24"/>
          <w:szCs w:val="24"/>
          <w:lang w:eastAsia="pt-BR"/>
        </w:rPr>
        <w:t xml:space="preserve"> - bem de consumo: todo material que atenda a, no mínimo, um dos seguintes critérios:</w:t>
      </w:r>
    </w:p>
    <w:p w14:paraId="370281C0"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76387BFD"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xml:space="preserve">a) </w:t>
      </w:r>
      <w:r>
        <w:rPr>
          <w:rFonts w:ascii="Courier New" w:eastAsia="Times New Roman" w:hAnsi="Courier New" w:cs="Courier New"/>
          <w:color w:val="000000"/>
          <w:sz w:val="24"/>
          <w:szCs w:val="24"/>
          <w:lang w:eastAsia="pt-BR"/>
        </w:rPr>
        <w:t>durabilidade: em uso normal, perde ou reduz as suas condições de uso, no prazo de dois anos;</w:t>
      </w:r>
    </w:p>
    <w:p w14:paraId="6FF97F8F"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519F8B75"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xml:space="preserve">b) </w:t>
      </w:r>
      <w:r>
        <w:rPr>
          <w:rFonts w:ascii="Courier New" w:eastAsia="Times New Roman" w:hAnsi="Courier New" w:cs="Courier New"/>
          <w:color w:val="000000"/>
          <w:sz w:val="24"/>
          <w:szCs w:val="24"/>
          <w:lang w:eastAsia="pt-BR"/>
        </w:rPr>
        <w:t>fragilidade: facilmente quebradiço ou deformável, de modo irrecuperável ou com perda de sua identidade;</w:t>
      </w:r>
    </w:p>
    <w:p w14:paraId="70B5E0BE"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0C7BBFAE"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 xml:space="preserve">c) </w:t>
      </w:r>
      <w:r>
        <w:rPr>
          <w:rFonts w:ascii="Courier New" w:eastAsia="Times New Roman" w:hAnsi="Courier New" w:cs="Courier New"/>
          <w:color w:val="000000"/>
          <w:sz w:val="24"/>
          <w:szCs w:val="24"/>
          <w:lang w:eastAsia="pt-BR"/>
        </w:rPr>
        <w:t>perecibilidade: sujeito a modificações químicas ou físicas que levem à deterioração ou à perda de suas condições de uso com o decorrer do tempo;</w:t>
      </w:r>
    </w:p>
    <w:p w14:paraId="027523FF"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62F2A070"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d)</w:t>
      </w:r>
      <w:r>
        <w:rPr>
          <w:rFonts w:ascii="Courier New" w:eastAsia="Times New Roman" w:hAnsi="Courier New" w:cs="Courier New"/>
          <w:color w:val="000000"/>
          <w:sz w:val="24"/>
          <w:szCs w:val="24"/>
          <w:lang w:eastAsia="pt-BR"/>
        </w:rPr>
        <w:t xml:space="preserve"> </w:t>
      </w:r>
      <w:proofErr w:type="spellStart"/>
      <w:r>
        <w:rPr>
          <w:rFonts w:ascii="Courier New" w:eastAsia="Times New Roman" w:hAnsi="Courier New" w:cs="Courier New"/>
          <w:color w:val="000000"/>
          <w:sz w:val="24"/>
          <w:szCs w:val="24"/>
          <w:lang w:eastAsia="pt-BR"/>
        </w:rPr>
        <w:t>Incorporabilidade</w:t>
      </w:r>
      <w:proofErr w:type="spellEnd"/>
      <w:r>
        <w:rPr>
          <w:rFonts w:ascii="Courier New" w:eastAsia="Times New Roman" w:hAnsi="Courier New" w:cs="Courier New"/>
          <w:color w:val="000000"/>
          <w:sz w:val="24"/>
          <w:szCs w:val="24"/>
          <w:lang w:eastAsia="pt-BR"/>
        </w:rPr>
        <w:t>: destinado à incorporação em outro bem, ainda que suas características originais sejam alteradas, de modo que sua retirada acarrete prejuízo à essência do bem principal; ou</w:t>
      </w:r>
    </w:p>
    <w:p w14:paraId="1101C860"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0C70D3A2"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e)</w:t>
      </w:r>
      <w:r>
        <w:rPr>
          <w:rFonts w:ascii="Courier New" w:eastAsia="Times New Roman" w:hAnsi="Courier New" w:cs="Courier New"/>
          <w:color w:val="000000"/>
          <w:sz w:val="24"/>
          <w:szCs w:val="24"/>
          <w:lang w:eastAsia="pt-BR"/>
        </w:rPr>
        <w:t xml:space="preserve"> </w:t>
      </w:r>
      <w:proofErr w:type="spellStart"/>
      <w:r>
        <w:rPr>
          <w:rFonts w:ascii="Courier New" w:eastAsia="Times New Roman" w:hAnsi="Courier New" w:cs="Courier New"/>
          <w:color w:val="000000"/>
          <w:sz w:val="24"/>
          <w:szCs w:val="24"/>
          <w:lang w:eastAsia="pt-BR"/>
        </w:rPr>
        <w:t>transformabilidade</w:t>
      </w:r>
      <w:proofErr w:type="spellEnd"/>
      <w:r>
        <w:rPr>
          <w:rFonts w:ascii="Courier New" w:eastAsia="Times New Roman" w:hAnsi="Courier New" w:cs="Courier New"/>
          <w:color w:val="000000"/>
          <w:sz w:val="24"/>
          <w:szCs w:val="24"/>
          <w:lang w:eastAsia="pt-BR"/>
        </w:rPr>
        <w:t>: adquirido para fins de utilização como matéria-prima ou matéria intermediária para a geração de outro bem;</w:t>
      </w:r>
    </w:p>
    <w:p w14:paraId="5F73AFA3"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7425EC7C"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IV</w:t>
      </w:r>
      <w:r>
        <w:rPr>
          <w:rFonts w:ascii="Courier New" w:eastAsia="Times New Roman" w:hAnsi="Courier New" w:cs="Courier New"/>
          <w:color w:val="000000"/>
          <w:sz w:val="24"/>
          <w:szCs w:val="24"/>
          <w:lang w:eastAsia="pt-BR"/>
        </w:rPr>
        <w:t xml:space="preserve"> - Elasticidade-renda da demanda: razão entre a variação percentual da quantidade demandada e a variação percentual da renda média, levando a classificação de bens normais, inferiores ou superiores. </w:t>
      </w:r>
    </w:p>
    <w:p w14:paraId="6DEE3CF1"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67A4D8F8" w14:textId="77777777" w:rsidR="00AD0D60" w:rsidRDefault="00AD0D60" w:rsidP="00AD0D60">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3 -</w:t>
      </w:r>
      <w:r>
        <w:rPr>
          <w:rFonts w:ascii="Courier New" w:eastAsia="Times New Roman" w:hAnsi="Courier New" w:cs="Courier New"/>
          <w:color w:val="000000"/>
          <w:sz w:val="24"/>
          <w:szCs w:val="24"/>
          <w:lang w:eastAsia="pt-BR"/>
        </w:rPr>
        <w:t xml:space="preserve"> Deverá ser levado em consideração no enquadramento do bem como de luxo, conforme conceituado no inciso I do artigo anterior, as seguintes variáveis:</w:t>
      </w:r>
    </w:p>
    <w:p w14:paraId="3A247FD4"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2548CAC6"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w:t>
      </w:r>
      <w:r>
        <w:rPr>
          <w:rFonts w:ascii="Courier New" w:eastAsia="Times New Roman" w:hAnsi="Courier New" w:cs="Courier New"/>
          <w:color w:val="000000"/>
          <w:sz w:val="24"/>
          <w:szCs w:val="24"/>
          <w:lang w:eastAsia="pt-BR"/>
        </w:rPr>
        <w:t xml:space="preserve"> - </w:t>
      </w:r>
      <w:proofErr w:type="gramStart"/>
      <w:r>
        <w:rPr>
          <w:rFonts w:ascii="Courier New" w:eastAsia="Times New Roman" w:hAnsi="Courier New" w:cs="Courier New"/>
          <w:color w:val="000000"/>
          <w:sz w:val="24"/>
          <w:szCs w:val="24"/>
          <w:lang w:eastAsia="pt-BR"/>
        </w:rPr>
        <w:t>relatividade</w:t>
      </w:r>
      <w:proofErr w:type="gramEnd"/>
      <w:r>
        <w:rPr>
          <w:rFonts w:ascii="Courier New" w:eastAsia="Times New Roman" w:hAnsi="Courier New" w:cs="Courier New"/>
          <w:color w:val="000000"/>
          <w:sz w:val="24"/>
          <w:szCs w:val="24"/>
          <w:lang w:eastAsia="pt-BR"/>
        </w:rPr>
        <w:t xml:space="preserve"> econômica – variáveis econômicas que incidem sobre o preço do bem, principalmente a facilidade ou a dificuldade logística de acesso ao bem;</w:t>
      </w:r>
    </w:p>
    <w:p w14:paraId="7497D0D6"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7F33A9CF" w14:textId="6BDE8DE2"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w:t>
      </w:r>
      <w:r>
        <w:rPr>
          <w:rFonts w:ascii="Courier New" w:eastAsia="Times New Roman" w:hAnsi="Courier New" w:cs="Courier New"/>
          <w:color w:val="000000"/>
          <w:sz w:val="24"/>
          <w:szCs w:val="24"/>
          <w:lang w:eastAsia="pt-BR"/>
        </w:rPr>
        <w:t xml:space="preserve"> - </w:t>
      </w:r>
      <w:r>
        <w:rPr>
          <w:rFonts w:ascii="Courier New" w:eastAsia="Times New Roman" w:hAnsi="Courier New" w:cs="Courier New"/>
          <w:color w:val="000000"/>
          <w:sz w:val="24"/>
          <w:szCs w:val="24"/>
          <w:lang w:eastAsia="pt-BR"/>
        </w:rPr>
        <w:t>r</w:t>
      </w:r>
      <w:bookmarkStart w:id="1" w:name="_GoBack"/>
      <w:bookmarkEnd w:id="1"/>
      <w:r>
        <w:rPr>
          <w:rFonts w:ascii="Courier New" w:eastAsia="Times New Roman" w:hAnsi="Courier New" w:cs="Courier New"/>
          <w:color w:val="000000"/>
          <w:sz w:val="24"/>
          <w:szCs w:val="24"/>
          <w:lang w:eastAsia="pt-BR"/>
        </w:rPr>
        <w:t>elatividade</w:t>
      </w:r>
      <w:r>
        <w:rPr>
          <w:rFonts w:ascii="Courier New" w:eastAsia="Times New Roman" w:hAnsi="Courier New" w:cs="Courier New"/>
          <w:color w:val="000000"/>
          <w:sz w:val="24"/>
          <w:szCs w:val="24"/>
          <w:lang w:eastAsia="pt-BR"/>
        </w:rPr>
        <w:t xml:space="preserve"> temporal – mudança das variáveis mercadológicas do bem ao longo do tempo, em função de aspectos como:</w:t>
      </w:r>
    </w:p>
    <w:p w14:paraId="7C066501"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1C5DCC7B"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w:t>
      </w:r>
      <w:r>
        <w:rPr>
          <w:rFonts w:ascii="Courier New" w:eastAsia="Times New Roman" w:hAnsi="Courier New" w:cs="Courier New"/>
          <w:color w:val="000000"/>
          <w:sz w:val="24"/>
          <w:szCs w:val="24"/>
          <w:lang w:eastAsia="pt-BR"/>
        </w:rPr>
        <w:t xml:space="preserve"> evolução tecnológica;</w:t>
      </w:r>
    </w:p>
    <w:p w14:paraId="557A3A90"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4D2582C6"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b)</w:t>
      </w:r>
      <w:r>
        <w:rPr>
          <w:rFonts w:ascii="Courier New" w:eastAsia="Times New Roman" w:hAnsi="Courier New" w:cs="Courier New"/>
          <w:color w:val="000000"/>
          <w:sz w:val="24"/>
          <w:szCs w:val="24"/>
          <w:lang w:eastAsia="pt-BR"/>
        </w:rPr>
        <w:t xml:space="preserve"> tendências sociais;</w:t>
      </w:r>
    </w:p>
    <w:p w14:paraId="3316C551"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0B9C70AC"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c)</w:t>
      </w:r>
      <w:r>
        <w:rPr>
          <w:rFonts w:ascii="Courier New" w:eastAsia="Times New Roman" w:hAnsi="Courier New" w:cs="Courier New"/>
          <w:color w:val="000000"/>
          <w:sz w:val="24"/>
          <w:szCs w:val="24"/>
          <w:lang w:eastAsia="pt-BR"/>
        </w:rPr>
        <w:t xml:space="preserve"> alterações de disponibilidade no mercado;</w:t>
      </w:r>
    </w:p>
    <w:p w14:paraId="0B9B2B76"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5ADF1174"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d)</w:t>
      </w:r>
      <w:r>
        <w:rPr>
          <w:rFonts w:ascii="Courier New" w:eastAsia="Times New Roman" w:hAnsi="Courier New" w:cs="Courier New"/>
          <w:color w:val="000000"/>
          <w:sz w:val="24"/>
          <w:szCs w:val="24"/>
          <w:lang w:eastAsia="pt-BR"/>
        </w:rPr>
        <w:t xml:space="preserve"> modificações no processo de suprimento logístico.</w:t>
      </w:r>
    </w:p>
    <w:p w14:paraId="3AAD62D6"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28B58176" w14:textId="77777777" w:rsidR="00AD0D60" w:rsidRDefault="00AD0D60" w:rsidP="00AD0D60">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4º</w:t>
      </w:r>
      <w:r>
        <w:rPr>
          <w:rFonts w:ascii="Courier New" w:eastAsia="Times New Roman" w:hAnsi="Courier New" w:cs="Courier New"/>
          <w:color w:val="000000"/>
          <w:sz w:val="24"/>
          <w:szCs w:val="24"/>
          <w:lang w:eastAsia="pt-BR"/>
        </w:rPr>
        <w:t xml:space="preserve"> - Não será enquadrado como bem de luxo aquele que, mesmo considerado na definição do inciso I, do artigo 2º, desta Resolução:</w:t>
      </w:r>
    </w:p>
    <w:p w14:paraId="56345DEA"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3203AFE0"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w:t>
      </w:r>
      <w:r>
        <w:rPr>
          <w:rFonts w:ascii="Courier New" w:eastAsia="Times New Roman" w:hAnsi="Courier New" w:cs="Courier New"/>
          <w:color w:val="000000"/>
          <w:sz w:val="24"/>
          <w:szCs w:val="24"/>
          <w:lang w:eastAsia="pt-BR"/>
        </w:rPr>
        <w:t xml:space="preserve"> – </w:t>
      </w:r>
      <w:proofErr w:type="gramStart"/>
      <w:r>
        <w:rPr>
          <w:rFonts w:ascii="Courier New" w:eastAsia="Times New Roman" w:hAnsi="Courier New" w:cs="Courier New"/>
          <w:color w:val="000000"/>
          <w:sz w:val="24"/>
          <w:szCs w:val="24"/>
          <w:lang w:eastAsia="pt-BR"/>
        </w:rPr>
        <w:t>for</w:t>
      </w:r>
      <w:proofErr w:type="gramEnd"/>
      <w:r>
        <w:rPr>
          <w:rFonts w:ascii="Courier New" w:eastAsia="Times New Roman" w:hAnsi="Courier New" w:cs="Courier New"/>
          <w:color w:val="000000"/>
          <w:sz w:val="24"/>
          <w:szCs w:val="24"/>
          <w:lang w:eastAsia="pt-BR"/>
        </w:rPr>
        <w:t xml:space="preserve"> adquirido a preço equivalente ou inferior ao preço do bem de qualidade comum de mesma natureza;</w:t>
      </w:r>
    </w:p>
    <w:p w14:paraId="527F045B"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p>
    <w:p w14:paraId="6DD70B0C"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II</w:t>
      </w:r>
      <w:r>
        <w:rPr>
          <w:rFonts w:ascii="Courier New" w:eastAsia="Times New Roman" w:hAnsi="Courier New" w:cs="Courier New"/>
          <w:color w:val="000000"/>
          <w:sz w:val="24"/>
          <w:szCs w:val="24"/>
          <w:lang w:eastAsia="pt-BR"/>
        </w:rPr>
        <w:t xml:space="preserve"> – </w:t>
      </w:r>
      <w:proofErr w:type="gramStart"/>
      <w:r>
        <w:rPr>
          <w:rFonts w:ascii="Courier New" w:eastAsia="Times New Roman" w:hAnsi="Courier New" w:cs="Courier New"/>
          <w:color w:val="000000"/>
          <w:sz w:val="24"/>
          <w:szCs w:val="24"/>
          <w:lang w:eastAsia="pt-BR"/>
        </w:rPr>
        <w:t>tenha</w:t>
      </w:r>
      <w:proofErr w:type="gramEnd"/>
      <w:r>
        <w:rPr>
          <w:rFonts w:ascii="Courier New" w:eastAsia="Times New Roman" w:hAnsi="Courier New" w:cs="Courier New"/>
          <w:color w:val="000000"/>
          <w:sz w:val="24"/>
          <w:szCs w:val="24"/>
          <w:lang w:eastAsia="pt-BR"/>
        </w:rPr>
        <w:t xml:space="preserve"> as características superiores justificadas em face da estrita atividade do órgão ou da entidade.</w:t>
      </w:r>
    </w:p>
    <w:p w14:paraId="6DCFAC17"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5309DB60" w14:textId="77777777" w:rsidR="00AD0D60" w:rsidRDefault="00AD0D60" w:rsidP="00AD0D60">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5º</w:t>
      </w:r>
      <w:r>
        <w:rPr>
          <w:rFonts w:ascii="Courier New" w:eastAsia="Times New Roman" w:hAnsi="Courier New" w:cs="Courier New"/>
          <w:color w:val="000000"/>
          <w:sz w:val="24"/>
          <w:szCs w:val="24"/>
          <w:lang w:eastAsia="pt-BR"/>
        </w:rPr>
        <w:t xml:space="preserve"> - É vedada a aquisição de bens de consumo enquadrados como bens de luxo, nos termos desta Resolução, em atendimento ao disposto no artigo 20, da Lei Federal nº. 14.133, de 01 de abril de 2021.</w:t>
      </w:r>
    </w:p>
    <w:p w14:paraId="3C31D6CE"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5F0A6A03" w14:textId="77777777" w:rsidR="00AD0D60" w:rsidRDefault="00AD0D60" w:rsidP="00AD0D60">
      <w:pPr>
        <w:shd w:val="clear" w:color="auto" w:fill="FFFFFF"/>
        <w:spacing w:after="0" w:line="240" w:lineRule="auto"/>
        <w:ind w:firstLine="1134"/>
        <w:jc w:val="both"/>
        <w:rPr>
          <w:rFonts w:ascii="Courier New" w:eastAsia="Times New Roman" w:hAnsi="Courier New" w:cs="Courier New"/>
          <w:color w:val="000000"/>
          <w:sz w:val="24"/>
          <w:szCs w:val="24"/>
          <w:lang w:eastAsia="pt-BR"/>
        </w:rPr>
      </w:pPr>
      <w:r>
        <w:rPr>
          <w:rFonts w:ascii="Courier New" w:eastAsia="Times New Roman" w:hAnsi="Courier New" w:cs="Courier New"/>
          <w:b/>
          <w:bCs/>
          <w:color w:val="000000"/>
          <w:sz w:val="24"/>
          <w:szCs w:val="24"/>
          <w:lang w:eastAsia="pt-BR"/>
        </w:rPr>
        <w:t>Art. 6º</w:t>
      </w:r>
      <w:r>
        <w:rPr>
          <w:rFonts w:ascii="Courier New" w:eastAsia="Times New Roman" w:hAnsi="Courier New" w:cs="Courier New"/>
          <w:color w:val="000000"/>
          <w:sz w:val="24"/>
          <w:szCs w:val="24"/>
          <w:lang w:eastAsia="pt-BR"/>
        </w:rPr>
        <w:t xml:space="preserve"> - As unidades de contratação da Câmara Municipal, com apoio de equipe técnica, se necessário, identificará os bens de consumo de luxo, constantes das requisições de compras formalizadas pelos ordenadores de despesas.</w:t>
      </w:r>
    </w:p>
    <w:p w14:paraId="2D91D261"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4E408C2F" w14:textId="77777777" w:rsidR="00AD0D60" w:rsidRDefault="00AD0D60" w:rsidP="00AD0D60">
      <w:pPr>
        <w:shd w:val="clear" w:color="auto" w:fill="FFFFFF"/>
        <w:spacing w:after="0" w:line="240" w:lineRule="auto"/>
        <w:ind w:firstLine="567"/>
        <w:jc w:val="both"/>
        <w:rPr>
          <w:rFonts w:ascii="Courier New" w:eastAsia="Times New Roman" w:hAnsi="Courier New" w:cs="Courier New"/>
          <w:color w:val="000000"/>
          <w:sz w:val="24"/>
          <w:szCs w:val="24"/>
          <w:lang w:eastAsia="pt-BR"/>
        </w:rPr>
      </w:pPr>
      <w:r>
        <w:rPr>
          <w:rFonts w:ascii="Courier New" w:eastAsia="Times New Roman" w:hAnsi="Courier New" w:cs="Courier New"/>
          <w:b/>
          <w:bCs/>
          <w:i/>
          <w:iCs/>
          <w:color w:val="000000"/>
          <w:sz w:val="24"/>
          <w:szCs w:val="24"/>
          <w:lang w:eastAsia="pt-BR"/>
        </w:rPr>
        <w:t>Parágrafo único</w:t>
      </w:r>
      <w:r>
        <w:rPr>
          <w:rFonts w:ascii="Courier New" w:eastAsia="Times New Roman" w:hAnsi="Courier New" w:cs="Courier New"/>
          <w:color w:val="000000"/>
          <w:sz w:val="24"/>
          <w:szCs w:val="24"/>
          <w:lang w:eastAsia="pt-BR"/>
        </w:rPr>
        <w:t>. Na hipótese de identificação de demandas por bens de consumo de luxo, nos termos do disposto no caput, do presente artigo, as requisições de compras retornarão aos setores requisitantes para supressão ou substituição dos bens demandados.</w:t>
      </w:r>
    </w:p>
    <w:p w14:paraId="1D4EC2B7"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71909F93" w14:textId="77777777" w:rsidR="00AD0D60" w:rsidRDefault="00AD0D60" w:rsidP="00AD0D60">
      <w:pPr>
        <w:shd w:val="clear" w:color="auto" w:fill="FFFFFF"/>
        <w:spacing w:after="0" w:line="240" w:lineRule="auto"/>
        <w:ind w:firstLine="1134"/>
        <w:jc w:val="both"/>
        <w:rPr>
          <w:rFonts w:ascii="Courier New" w:eastAsia="Times New Roman" w:hAnsi="Courier New" w:cs="Courier New"/>
          <w:sz w:val="24"/>
          <w:szCs w:val="24"/>
          <w:lang w:eastAsia="pt-BR"/>
        </w:rPr>
      </w:pPr>
      <w:r>
        <w:rPr>
          <w:rFonts w:ascii="Courier New" w:eastAsia="Times New Roman" w:hAnsi="Courier New" w:cs="Courier New"/>
          <w:b/>
          <w:bCs/>
          <w:color w:val="000000"/>
          <w:sz w:val="24"/>
          <w:szCs w:val="24"/>
          <w:lang w:eastAsia="pt-BR"/>
        </w:rPr>
        <w:t>Art. 7º</w:t>
      </w:r>
      <w:r>
        <w:rPr>
          <w:rFonts w:ascii="Courier New" w:eastAsia="Times New Roman" w:hAnsi="Courier New" w:cs="Courier New"/>
          <w:color w:val="000000"/>
          <w:sz w:val="24"/>
          <w:szCs w:val="24"/>
          <w:lang w:eastAsia="pt-BR"/>
        </w:rPr>
        <w:t xml:space="preserve"> - Esta Resolução entra em vigor na data de sua publicação.</w:t>
      </w:r>
    </w:p>
    <w:p w14:paraId="5446B3FA" w14:textId="77777777" w:rsidR="00AD0D60" w:rsidRDefault="00AD0D60" w:rsidP="00AD0D60">
      <w:pPr>
        <w:shd w:val="clear" w:color="auto" w:fill="FFFFFF"/>
        <w:spacing w:after="0" w:line="240" w:lineRule="auto"/>
        <w:jc w:val="both"/>
        <w:rPr>
          <w:rFonts w:ascii="Courier New" w:eastAsia="Times New Roman" w:hAnsi="Courier New" w:cs="Courier New"/>
          <w:sz w:val="24"/>
          <w:szCs w:val="24"/>
          <w:lang w:eastAsia="pt-BR"/>
        </w:rPr>
      </w:pPr>
    </w:p>
    <w:p w14:paraId="24A43E7C" w14:textId="77777777" w:rsidR="00C237B6" w:rsidRPr="00C237B6" w:rsidRDefault="00C237B6" w:rsidP="00C237B6">
      <w:pPr>
        <w:spacing w:after="0" w:line="240" w:lineRule="auto"/>
        <w:jc w:val="both"/>
        <w:rPr>
          <w:rFonts w:ascii="Courier New" w:eastAsia="Calibri" w:hAnsi="Courier New" w:cs="Courier New"/>
          <w:sz w:val="24"/>
          <w:szCs w:val="24"/>
          <w:lang w:eastAsia="pt-BR"/>
        </w:rPr>
      </w:pPr>
    </w:p>
    <w:p w14:paraId="2E1BB925" w14:textId="77777777"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r w:rsidRPr="00C237B6">
        <w:rPr>
          <w:rFonts w:ascii="Courier New" w:eastAsia="Calibri" w:hAnsi="Courier New" w:cs="Courier New"/>
          <w:sz w:val="24"/>
          <w:szCs w:val="24"/>
          <w:lang w:eastAsia="pt-BR"/>
        </w:rPr>
        <w:tab/>
      </w:r>
    </w:p>
    <w:p w14:paraId="789A9841" w14:textId="77777777" w:rsidR="00C237B6" w:rsidRPr="00C237B6" w:rsidRDefault="00C237B6" w:rsidP="00C237B6">
      <w:pPr>
        <w:spacing w:after="0" w:line="240" w:lineRule="auto"/>
        <w:ind w:firstLine="1418"/>
        <w:jc w:val="both"/>
        <w:rPr>
          <w:rFonts w:ascii="Courier New" w:eastAsia="Calibri" w:hAnsi="Courier New" w:cs="Courier New"/>
          <w:b/>
          <w:sz w:val="24"/>
          <w:szCs w:val="24"/>
          <w:lang w:eastAsia="pt-BR"/>
        </w:rPr>
      </w:pPr>
    </w:p>
    <w:p w14:paraId="5DCFF152" w14:textId="2467ACF8" w:rsidR="00C237B6" w:rsidRPr="00C237B6" w:rsidRDefault="00C237B6" w:rsidP="00C237B6">
      <w:pPr>
        <w:spacing w:after="0" w:line="240" w:lineRule="auto"/>
        <w:jc w:val="right"/>
        <w:rPr>
          <w:rFonts w:ascii="Courier New" w:eastAsia="Calibri" w:hAnsi="Courier New" w:cs="Courier New"/>
          <w:sz w:val="24"/>
          <w:szCs w:val="24"/>
          <w:lang w:eastAsia="pt-BR"/>
        </w:rPr>
      </w:pPr>
      <w:r w:rsidRPr="00C237B6">
        <w:rPr>
          <w:rFonts w:ascii="Courier New" w:eastAsia="Calibri" w:hAnsi="Courier New" w:cs="Courier New"/>
          <w:sz w:val="24"/>
          <w:szCs w:val="24"/>
          <w:lang w:eastAsia="pt-BR"/>
        </w:rPr>
        <w:t xml:space="preserve">Câmara Municipal de Itanhangá/MT, de </w:t>
      </w:r>
      <w:r w:rsidR="005737B6">
        <w:rPr>
          <w:rFonts w:ascii="Courier New" w:eastAsia="Calibri" w:hAnsi="Courier New" w:cs="Courier New"/>
          <w:sz w:val="24"/>
          <w:szCs w:val="24"/>
          <w:lang w:eastAsia="pt-BR"/>
        </w:rPr>
        <w:t>10 de maio</w:t>
      </w:r>
      <w:r w:rsidRPr="00C237B6">
        <w:rPr>
          <w:rFonts w:ascii="Courier New" w:eastAsia="Calibri" w:hAnsi="Courier New" w:cs="Courier New"/>
          <w:sz w:val="24"/>
          <w:szCs w:val="24"/>
          <w:lang w:eastAsia="pt-BR"/>
        </w:rPr>
        <w:t xml:space="preserve"> de 2023.</w:t>
      </w:r>
    </w:p>
    <w:p w14:paraId="0D69AC6F" w14:textId="77777777" w:rsidR="00C237B6" w:rsidRPr="00C237B6" w:rsidRDefault="00C237B6" w:rsidP="00C237B6">
      <w:pPr>
        <w:spacing w:after="0" w:line="240" w:lineRule="auto"/>
        <w:rPr>
          <w:rFonts w:ascii="Courier New" w:eastAsia="Calibri" w:hAnsi="Courier New" w:cs="Courier New"/>
          <w:sz w:val="26"/>
          <w:szCs w:val="26"/>
          <w:lang w:eastAsia="pt-BR"/>
        </w:rPr>
      </w:pPr>
    </w:p>
    <w:p w14:paraId="2A08E967" w14:textId="77777777" w:rsidR="00C237B6" w:rsidRPr="00C237B6" w:rsidRDefault="00C237B6" w:rsidP="00C237B6">
      <w:pPr>
        <w:spacing w:after="0" w:line="240" w:lineRule="auto"/>
        <w:rPr>
          <w:rFonts w:ascii="Courier New" w:eastAsia="Calibri" w:hAnsi="Courier New" w:cs="Courier New"/>
          <w:b/>
          <w:bCs/>
          <w:sz w:val="26"/>
          <w:szCs w:val="26"/>
          <w:lang w:eastAsia="pt-BR"/>
        </w:rPr>
      </w:pPr>
    </w:p>
    <w:p w14:paraId="32EEEE68"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Publique-se </w:t>
      </w:r>
    </w:p>
    <w:p w14:paraId="133CEB65" w14:textId="77777777" w:rsidR="00C237B6" w:rsidRPr="00C237B6" w:rsidRDefault="00C237B6" w:rsidP="00C237B6">
      <w:pPr>
        <w:spacing w:after="0" w:line="240" w:lineRule="auto"/>
        <w:rPr>
          <w:rFonts w:ascii="Courier New" w:eastAsia="Calibri" w:hAnsi="Courier New" w:cs="Courier New"/>
          <w:sz w:val="26"/>
          <w:szCs w:val="26"/>
          <w:lang w:eastAsia="pt-BR"/>
        </w:rPr>
      </w:pPr>
      <w:r w:rsidRPr="00C237B6">
        <w:rPr>
          <w:rFonts w:ascii="Courier New" w:eastAsia="Calibri" w:hAnsi="Courier New" w:cs="Courier New"/>
          <w:b/>
          <w:bCs/>
          <w:sz w:val="26"/>
          <w:szCs w:val="26"/>
          <w:lang w:eastAsia="pt-BR"/>
        </w:rPr>
        <w:t xml:space="preserve">Cumpra-se. </w:t>
      </w:r>
    </w:p>
    <w:p w14:paraId="231F2C7A" w14:textId="77777777" w:rsidR="00C237B6" w:rsidRPr="00C237B6" w:rsidRDefault="00C237B6" w:rsidP="00C237B6">
      <w:pPr>
        <w:spacing w:after="0" w:line="240" w:lineRule="auto"/>
        <w:rPr>
          <w:rFonts w:ascii="Courier New" w:eastAsia="Times New Roman" w:hAnsi="Courier New" w:cs="Courier New"/>
          <w:b/>
          <w:sz w:val="24"/>
          <w:szCs w:val="24"/>
        </w:rPr>
      </w:pP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r w:rsidRPr="00C237B6">
        <w:rPr>
          <w:rFonts w:ascii="Courier New" w:eastAsia="Times New Roman" w:hAnsi="Courier New" w:cs="Courier New"/>
          <w:sz w:val="26"/>
          <w:szCs w:val="26"/>
          <w:lang w:eastAsia="pt-BR"/>
        </w:rPr>
        <w:softHyphen/>
      </w:r>
    </w:p>
    <w:p w14:paraId="077BCA3E" w14:textId="4535F963" w:rsidR="00273CBD" w:rsidRDefault="00273CBD" w:rsidP="00273CBD">
      <w:pPr>
        <w:spacing w:after="0" w:line="240" w:lineRule="auto"/>
        <w:jc w:val="right"/>
        <w:rPr>
          <w:rFonts w:ascii="Courier New" w:eastAsia="Calibri" w:hAnsi="Courier New" w:cs="Courier New"/>
          <w:b/>
          <w:sz w:val="24"/>
          <w:szCs w:val="24"/>
          <w:lang w:eastAsia="pt-BR"/>
        </w:rPr>
      </w:pPr>
    </w:p>
    <w:p w14:paraId="42AD19CA" w14:textId="77777777" w:rsidR="00C237B6" w:rsidRPr="007B40B9" w:rsidRDefault="00C237B6" w:rsidP="00273CBD">
      <w:pPr>
        <w:spacing w:after="0" w:line="240" w:lineRule="auto"/>
        <w:jc w:val="right"/>
        <w:rPr>
          <w:rFonts w:ascii="Courier New" w:eastAsia="Calibri" w:hAnsi="Courier New" w:cs="Courier New"/>
          <w:sz w:val="24"/>
          <w:szCs w:val="24"/>
          <w:lang w:eastAsia="pt-BR"/>
        </w:rPr>
      </w:pPr>
    </w:p>
    <w:bookmarkEnd w:id="0"/>
    <w:p w14:paraId="69EAD277" w14:textId="77777777" w:rsidR="00273CBD" w:rsidRPr="007B40B9" w:rsidRDefault="00273CBD" w:rsidP="00273CBD">
      <w:pPr>
        <w:spacing w:after="0" w:line="240" w:lineRule="auto"/>
        <w:jc w:val="right"/>
        <w:rPr>
          <w:rFonts w:ascii="Courier New" w:eastAsia="Calibri" w:hAnsi="Courier New" w:cs="Courier New"/>
          <w:sz w:val="24"/>
          <w:szCs w:val="24"/>
          <w:lang w:eastAsia="pt-BR"/>
        </w:rPr>
      </w:pPr>
    </w:p>
    <w:p w14:paraId="5075968C" w14:textId="77777777" w:rsidR="00C82B7D" w:rsidRPr="00E9296F" w:rsidRDefault="00C82B7D" w:rsidP="00C82B7D">
      <w:pPr>
        <w:pStyle w:val="SemEspaamento"/>
        <w:jc w:val="center"/>
        <w:rPr>
          <w:rFonts w:ascii="Courier New" w:hAnsi="Courier New" w:cs="Courier New"/>
        </w:rPr>
      </w:pPr>
    </w:p>
    <w:p w14:paraId="4A1D4DE7" w14:textId="77777777" w:rsidR="00C82B7D" w:rsidRPr="00E9296F" w:rsidRDefault="00C82B7D" w:rsidP="00C82B7D">
      <w:pPr>
        <w:pStyle w:val="SemEspaamento"/>
        <w:rPr>
          <w:rFonts w:ascii="Courier New" w:hAnsi="Courier New" w:cs="Courier New"/>
        </w:rPr>
      </w:pPr>
    </w:p>
    <w:p w14:paraId="614276F9"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Zilmar Albuquerque Rodrigues </w:t>
      </w:r>
    </w:p>
    <w:p w14:paraId="4DDB296A" w14:textId="77777777" w:rsidR="00C82B7D" w:rsidRPr="00E9296F" w:rsidRDefault="00C82B7D" w:rsidP="00C82B7D">
      <w:pPr>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 xml:space="preserve">Presidente </w:t>
      </w:r>
    </w:p>
    <w:p w14:paraId="6BD0A41E" w14:textId="77777777" w:rsidR="00C82B7D" w:rsidRPr="00E9296F" w:rsidRDefault="00C82B7D" w:rsidP="00C82B7D">
      <w:pPr>
        <w:tabs>
          <w:tab w:val="left" w:pos="2051"/>
        </w:tabs>
        <w:spacing w:after="0" w:line="240" w:lineRule="auto"/>
        <w:jc w:val="center"/>
        <w:rPr>
          <w:rFonts w:ascii="Courier New" w:eastAsia="Times New Roman" w:hAnsi="Courier New" w:cs="Courier New"/>
          <w:b/>
          <w:sz w:val="24"/>
          <w:szCs w:val="24"/>
          <w:lang w:eastAsia="pt-BR"/>
        </w:rPr>
      </w:pPr>
      <w:r w:rsidRPr="00E9296F">
        <w:rPr>
          <w:rFonts w:ascii="Courier New" w:eastAsia="Times New Roman" w:hAnsi="Courier New" w:cs="Courier New"/>
          <w:b/>
          <w:sz w:val="24"/>
          <w:szCs w:val="24"/>
          <w:lang w:eastAsia="pt-BR"/>
        </w:rPr>
        <w:t>Câmara Municipal de Itanhangá.</w:t>
      </w:r>
    </w:p>
    <w:p w14:paraId="3E350038" w14:textId="77777777" w:rsidR="00C82B7D" w:rsidRPr="00BF5A8B" w:rsidRDefault="00C82B7D" w:rsidP="00C82B7D">
      <w:pPr>
        <w:spacing w:after="0" w:line="240" w:lineRule="auto"/>
        <w:rPr>
          <w:rFonts w:ascii="Arial" w:hAnsi="Arial" w:cs="Arial"/>
        </w:rPr>
      </w:pPr>
    </w:p>
    <w:p w14:paraId="23E79F58" w14:textId="77777777" w:rsidR="009B7E79" w:rsidRDefault="009B7E79" w:rsidP="009B7E79">
      <w:pPr>
        <w:spacing w:after="0" w:line="240" w:lineRule="auto"/>
        <w:jc w:val="right"/>
        <w:rPr>
          <w:rFonts w:ascii="Courier New" w:eastAsia="Calibri" w:hAnsi="Courier New" w:cs="Courier New"/>
          <w:sz w:val="24"/>
          <w:szCs w:val="24"/>
          <w:lang w:eastAsia="pt-BR"/>
        </w:rPr>
      </w:pPr>
    </w:p>
    <w:p w14:paraId="009F397B" w14:textId="77777777" w:rsidR="00002991" w:rsidRDefault="00002991" w:rsidP="00002991"/>
    <w:sectPr w:rsidR="00002991" w:rsidSect="00450F5C">
      <w:headerReference w:type="default" r:id="rId6"/>
      <w:footerReference w:type="default" r:id="rId7"/>
      <w:pgSz w:w="11906" w:h="16838"/>
      <w:pgMar w:top="1417" w:right="1133" w:bottom="1134" w:left="1276" w:header="284" w:footer="3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75D6B" w14:textId="77777777" w:rsidR="00002991" w:rsidRDefault="00002991" w:rsidP="00002991">
      <w:pPr>
        <w:spacing w:after="0" w:line="240" w:lineRule="auto"/>
      </w:pPr>
      <w:r>
        <w:separator/>
      </w:r>
    </w:p>
  </w:endnote>
  <w:endnote w:type="continuationSeparator" w:id="0">
    <w:p w14:paraId="37C20A36" w14:textId="77777777" w:rsidR="00002991" w:rsidRDefault="00002991" w:rsidP="00002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B8897" w14:textId="67E945BF" w:rsidR="00002991" w:rsidRDefault="00002991" w:rsidP="00002991">
    <w:pPr>
      <w:tabs>
        <w:tab w:val="center" w:pos="4252"/>
        <w:tab w:val="center" w:pos="4818"/>
        <w:tab w:val="right" w:pos="8504"/>
        <w:tab w:val="right" w:pos="9637"/>
      </w:tabs>
      <w:spacing w:after="0" w:line="240" w:lineRule="auto"/>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w:t>
    </w:r>
    <w:r w:rsidR="000351BE">
      <w:rPr>
        <w:rFonts w:ascii="Times New Roman" w:eastAsia="Calibri" w:hAnsi="Times New Roman" w:cs="Times New Roman"/>
        <w:color w:val="0000FF"/>
        <w:sz w:val="21"/>
        <w:szCs w:val="21"/>
      </w:rPr>
      <w:t>Florianópolis</w:t>
    </w:r>
    <w:r>
      <w:rPr>
        <w:rFonts w:ascii="Times New Roman" w:eastAsia="Calibri" w:hAnsi="Times New Roman" w:cs="Times New Roman"/>
        <w:color w:val="0000FF"/>
        <w:sz w:val="21"/>
        <w:szCs w:val="21"/>
      </w:rPr>
      <w:t xml:space="preserve">, n° </w:t>
    </w:r>
    <w:r w:rsidR="000351BE">
      <w:rPr>
        <w:rFonts w:ascii="Times New Roman" w:eastAsia="Calibri" w:hAnsi="Times New Roman" w:cs="Times New Roman"/>
        <w:color w:val="0000FF"/>
        <w:sz w:val="21"/>
        <w:szCs w:val="21"/>
      </w:rPr>
      <w:t>217</w:t>
    </w:r>
    <w:r>
      <w:rPr>
        <w:rFonts w:ascii="Times New Roman" w:eastAsia="Calibri" w:hAnsi="Times New Roman" w:cs="Times New Roman"/>
        <w:color w:val="0000FF"/>
        <w:sz w:val="21"/>
        <w:szCs w:val="21"/>
      </w:rPr>
      <w:t>, Cx</w:t>
    </w:r>
    <w:r w:rsidR="008F4F7F">
      <w:rPr>
        <w:rFonts w:ascii="Times New Roman" w:eastAsia="Calibri" w:hAnsi="Times New Roman" w:cs="Times New Roman"/>
        <w:color w:val="0000FF"/>
        <w:sz w:val="21"/>
        <w:szCs w:val="21"/>
      </w:rPr>
      <w:t>.</w:t>
    </w:r>
    <w:r>
      <w:rPr>
        <w:rFonts w:ascii="Times New Roman" w:eastAsia="Calibri" w:hAnsi="Times New Roman" w:cs="Times New Roman"/>
        <w:color w:val="0000FF"/>
        <w:sz w:val="21"/>
        <w:szCs w:val="21"/>
      </w:rPr>
      <w:t xml:space="preserve"> Postal </w:t>
    </w:r>
    <w:r w:rsidR="008F4F7F">
      <w:rPr>
        <w:rFonts w:ascii="Times New Roman" w:eastAsia="Calibri" w:hAnsi="Times New Roman" w:cs="Times New Roman"/>
        <w:color w:val="0000FF"/>
        <w:sz w:val="21"/>
        <w:szCs w:val="21"/>
      </w:rPr>
      <w:t>71</w:t>
    </w:r>
    <w:r>
      <w:rPr>
        <w:rFonts w:ascii="Times New Roman" w:eastAsia="Calibri" w:hAnsi="Times New Roman" w:cs="Times New Roman"/>
        <w:color w:val="0000FF"/>
        <w:sz w:val="21"/>
        <w:szCs w:val="21"/>
      </w:rPr>
      <w:t xml:space="preserve"> - CEP: 78.579-000 - Itanhangá/MT </w:t>
    </w:r>
    <w:r w:rsidR="008E3D76">
      <w:rPr>
        <w:rFonts w:ascii="Times New Roman" w:eastAsia="Calibri" w:hAnsi="Times New Roman" w:cs="Times New Roman"/>
        <w:color w:val="0000FF"/>
        <w:sz w:val="21"/>
        <w:szCs w:val="21"/>
      </w:rPr>
      <w:t>– CNPJ – 07.209.260/0001-10.</w:t>
    </w:r>
    <w:r>
      <w:rPr>
        <w:rFonts w:ascii="Times New Roman" w:eastAsia="Calibri" w:hAnsi="Times New Roman" w:cs="Times New Roman"/>
        <w:color w:val="0000FF"/>
        <w:sz w:val="21"/>
        <w:szCs w:val="21"/>
      </w:rPr>
      <w:t xml:space="preserve"> </w:t>
    </w:r>
  </w:p>
  <w:p w14:paraId="1033CE2B" w14:textId="358005A1" w:rsidR="00002991" w:rsidRDefault="00002991" w:rsidP="00002991">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Fone: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76211" w14:textId="77777777" w:rsidR="00002991" w:rsidRDefault="00002991" w:rsidP="00002991">
      <w:pPr>
        <w:spacing w:after="0" w:line="240" w:lineRule="auto"/>
      </w:pPr>
      <w:r>
        <w:separator/>
      </w:r>
    </w:p>
  </w:footnote>
  <w:footnote w:type="continuationSeparator" w:id="0">
    <w:p w14:paraId="367DDD3A" w14:textId="77777777" w:rsidR="00002991" w:rsidRDefault="00002991" w:rsidP="00002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B419B" w14:textId="4671BC4C" w:rsidR="008E3D76" w:rsidRDefault="009D32EF" w:rsidP="008E3D76">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6B0791A4" wp14:editId="56ABF790">
          <wp:simplePos x="0" y="0"/>
          <wp:positionH relativeFrom="column">
            <wp:posOffset>140970</wp:posOffset>
          </wp:positionH>
          <wp:positionV relativeFrom="paragraph">
            <wp:posOffset>10795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00002991" w:rsidRPr="008E3D76">
      <w:t xml:space="preserve"> </w:t>
    </w:r>
    <w:r w:rsidR="008E3D76">
      <w:rPr>
        <w:rFonts w:ascii="Calibri" w:eastAsia="Calibri" w:hAnsi="Calibri" w:cs="Times New Roman"/>
        <w:b/>
        <w:color w:val="0000FF"/>
        <w:sz w:val="44"/>
        <w:szCs w:val="44"/>
        <w:lang w:eastAsia="pt-BR"/>
      </w:rPr>
      <w:tab/>
    </w:r>
    <w:r w:rsidR="00034FC1">
      <w:rPr>
        <w:rFonts w:ascii="Calibri" w:eastAsia="Calibri" w:hAnsi="Calibri" w:cs="Times New Roman"/>
        <w:b/>
        <w:color w:val="0000FF"/>
        <w:sz w:val="44"/>
        <w:szCs w:val="44"/>
        <w:lang w:eastAsia="pt-BR"/>
      </w:rPr>
      <w:t xml:space="preserve">  </w:t>
    </w:r>
    <w:r w:rsidR="008E3D76">
      <w:rPr>
        <w:rFonts w:ascii="Times New Roman" w:eastAsia="Calibri" w:hAnsi="Times New Roman" w:cs="Times New Roman"/>
        <w:b/>
        <w:color w:val="0000FF"/>
        <w:sz w:val="44"/>
        <w:szCs w:val="44"/>
        <w:lang w:eastAsia="pt-BR"/>
      </w:rPr>
      <w:t>Estado de Mato Grosso</w:t>
    </w:r>
  </w:p>
  <w:p w14:paraId="59C0A90E" w14:textId="77777777" w:rsidR="008E3D76" w:rsidRDefault="008E3D76" w:rsidP="00450F5C">
    <w:pPr>
      <w:spacing w:after="0" w:line="240" w:lineRule="auto"/>
      <w:ind w:right="-142"/>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4F225E71" w14:textId="0F069CC6" w:rsidR="008E3D76" w:rsidRDefault="008E3D76" w:rsidP="008E3D76">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w:t>
    </w:r>
    <w:r w:rsidR="00C06EFF">
      <w:rPr>
        <w:rFonts w:ascii="Times New Roman" w:eastAsia="Calibri" w:hAnsi="Times New Roman" w:cs="Times New Roman"/>
        <w:b/>
        <w:color w:val="0000FF"/>
        <w:sz w:val="24"/>
        <w:szCs w:val="24"/>
        <w:lang w:eastAsia="pt-BR"/>
      </w:rPr>
      <w:t>21</w:t>
    </w:r>
    <w:r>
      <w:rPr>
        <w:rFonts w:ascii="Times New Roman" w:eastAsia="Calibri" w:hAnsi="Times New Roman" w:cs="Times New Roman"/>
        <w:b/>
        <w:color w:val="0000FF"/>
        <w:sz w:val="24"/>
        <w:szCs w:val="24"/>
        <w:lang w:eastAsia="pt-BR"/>
      </w:rPr>
      <w:t>/20</w:t>
    </w:r>
    <w:r w:rsidR="00C06EFF">
      <w:rPr>
        <w:rFonts w:ascii="Times New Roman" w:eastAsia="Calibri" w:hAnsi="Times New Roman" w:cs="Times New Roman"/>
        <w:b/>
        <w:color w:val="0000FF"/>
        <w:sz w:val="24"/>
        <w:szCs w:val="24"/>
        <w:lang w:eastAsia="pt-BR"/>
      </w:rPr>
      <w:t>24</w:t>
    </w:r>
    <w:r>
      <w:rPr>
        <w:rFonts w:ascii="Times New Roman" w:eastAsia="Calibri" w:hAnsi="Times New Roman" w:cs="Times New Roman"/>
        <w:b/>
        <w:color w:val="0000FF"/>
        <w:sz w:val="24"/>
        <w:szCs w:val="24"/>
        <w:lang w:eastAsia="pt-BR"/>
      </w:rPr>
      <w:t xml:space="preserve"> – Biênio 20</w:t>
    </w:r>
    <w:r w:rsidR="00C06EFF">
      <w:rPr>
        <w:rFonts w:ascii="Times New Roman" w:eastAsia="Calibri" w:hAnsi="Times New Roman" w:cs="Times New Roman"/>
        <w:b/>
        <w:color w:val="0000FF"/>
        <w:sz w:val="24"/>
        <w:szCs w:val="24"/>
        <w:lang w:eastAsia="pt-BR"/>
      </w:rPr>
      <w:t>2</w:t>
    </w:r>
    <w:r w:rsidR="008F4F7F">
      <w:rPr>
        <w:rFonts w:ascii="Times New Roman" w:eastAsia="Calibri" w:hAnsi="Times New Roman" w:cs="Times New Roman"/>
        <w:b/>
        <w:color w:val="0000FF"/>
        <w:sz w:val="24"/>
        <w:szCs w:val="24"/>
        <w:lang w:eastAsia="pt-BR"/>
      </w:rPr>
      <w:t>3</w:t>
    </w:r>
    <w:r>
      <w:rPr>
        <w:rFonts w:ascii="Times New Roman" w:eastAsia="Calibri" w:hAnsi="Times New Roman" w:cs="Times New Roman"/>
        <w:b/>
        <w:color w:val="0000FF"/>
        <w:sz w:val="24"/>
        <w:szCs w:val="24"/>
        <w:lang w:eastAsia="pt-BR"/>
      </w:rPr>
      <w:t xml:space="preserve"> - 202</w:t>
    </w:r>
    <w:r w:rsidR="008F4F7F">
      <w:rPr>
        <w:rFonts w:ascii="Times New Roman" w:eastAsia="Calibri" w:hAnsi="Times New Roman" w:cs="Times New Roman"/>
        <w:b/>
        <w:color w:val="0000FF"/>
        <w:sz w:val="24"/>
        <w:szCs w:val="24"/>
        <w:lang w:eastAsia="pt-BR"/>
      </w:rPr>
      <w:t>4</w:t>
    </w:r>
    <w:r>
      <w:rPr>
        <w:rFonts w:ascii="Times New Roman" w:eastAsia="Calibri" w:hAnsi="Times New Roman" w:cs="Times New Roman"/>
        <w:b/>
        <w:color w:val="0000FF"/>
        <w:sz w:val="24"/>
        <w:szCs w:val="24"/>
        <w:lang w:eastAsia="pt-BR"/>
      </w:rPr>
      <w:t xml:space="preserve">. </w:t>
    </w:r>
  </w:p>
  <w:p w14:paraId="748E0584" w14:textId="77777777" w:rsidR="008E3D76" w:rsidRDefault="008E3D76" w:rsidP="008E3D76">
    <w:pPr>
      <w:spacing w:after="0" w:line="240" w:lineRule="auto"/>
      <w:rPr>
        <w:rFonts w:ascii="Calibri" w:eastAsia="Calibri" w:hAnsi="Calibri" w:cs="Times New Roman"/>
        <w:sz w:val="24"/>
        <w:szCs w:val="24"/>
        <w:lang w:eastAsia="pt-BR"/>
      </w:rPr>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78"/>
    <w:rsid w:val="00002991"/>
    <w:rsid w:val="00034FC1"/>
    <w:rsid w:val="000351BE"/>
    <w:rsid w:val="000966C2"/>
    <w:rsid w:val="000F25FA"/>
    <w:rsid w:val="0020184C"/>
    <w:rsid w:val="00273CBD"/>
    <w:rsid w:val="00334058"/>
    <w:rsid w:val="0035123D"/>
    <w:rsid w:val="003803F8"/>
    <w:rsid w:val="003C4DB1"/>
    <w:rsid w:val="003D39BD"/>
    <w:rsid w:val="00444878"/>
    <w:rsid w:val="00450F5C"/>
    <w:rsid w:val="004665EE"/>
    <w:rsid w:val="004D3FD8"/>
    <w:rsid w:val="00571EAA"/>
    <w:rsid w:val="005737B6"/>
    <w:rsid w:val="005F46FE"/>
    <w:rsid w:val="006B4FDB"/>
    <w:rsid w:val="006D28DE"/>
    <w:rsid w:val="0076673A"/>
    <w:rsid w:val="00777D84"/>
    <w:rsid w:val="007B40B9"/>
    <w:rsid w:val="00807CD1"/>
    <w:rsid w:val="008D6D64"/>
    <w:rsid w:val="008E3D76"/>
    <w:rsid w:val="008F4F7F"/>
    <w:rsid w:val="009045FF"/>
    <w:rsid w:val="009B7E79"/>
    <w:rsid w:val="009D3244"/>
    <w:rsid w:val="009D32EF"/>
    <w:rsid w:val="00A26B00"/>
    <w:rsid w:val="00A70EB6"/>
    <w:rsid w:val="00AD0D60"/>
    <w:rsid w:val="00B82AAD"/>
    <w:rsid w:val="00BC1D70"/>
    <w:rsid w:val="00C06EFF"/>
    <w:rsid w:val="00C237B6"/>
    <w:rsid w:val="00C254EA"/>
    <w:rsid w:val="00C82B7D"/>
    <w:rsid w:val="00C96043"/>
    <w:rsid w:val="00CC1AE2"/>
    <w:rsid w:val="00DC68FA"/>
    <w:rsid w:val="00E10B18"/>
    <w:rsid w:val="00EB4436"/>
    <w:rsid w:val="00F43A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ACC92"/>
  <w15:chartTrackingRefBased/>
  <w15:docId w15:val="{2397F43F-CA00-4F69-A638-120BE5CE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029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02991"/>
  </w:style>
  <w:style w:type="paragraph" w:styleId="Rodap">
    <w:name w:val="footer"/>
    <w:basedOn w:val="Normal"/>
    <w:link w:val="RodapChar"/>
    <w:uiPriority w:val="99"/>
    <w:unhideWhenUsed/>
    <w:rsid w:val="00002991"/>
    <w:pPr>
      <w:tabs>
        <w:tab w:val="center" w:pos="4252"/>
        <w:tab w:val="right" w:pos="8504"/>
      </w:tabs>
      <w:spacing w:after="0" w:line="240" w:lineRule="auto"/>
    </w:pPr>
  </w:style>
  <w:style w:type="character" w:customStyle="1" w:styleId="RodapChar">
    <w:name w:val="Rodapé Char"/>
    <w:basedOn w:val="Fontepargpadro"/>
    <w:link w:val="Rodap"/>
    <w:uiPriority w:val="99"/>
    <w:rsid w:val="00002991"/>
  </w:style>
  <w:style w:type="character" w:styleId="Hyperlink">
    <w:name w:val="Hyperlink"/>
    <w:basedOn w:val="Fontepargpadro"/>
    <w:uiPriority w:val="99"/>
    <w:semiHidden/>
    <w:unhideWhenUsed/>
    <w:rsid w:val="00002991"/>
    <w:rPr>
      <w:color w:val="0000FF"/>
      <w:u w:val="single"/>
    </w:rPr>
  </w:style>
  <w:style w:type="character" w:customStyle="1" w:styleId="SemEspaamentoChar">
    <w:name w:val="Sem Espaçamento Char"/>
    <w:link w:val="SemEspaamento"/>
    <w:uiPriority w:val="1"/>
    <w:qFormat/>
    <w:locked/>
    <w:rsid w:val="009B7E79"/>
    <w:rPr>
      <w:sz w:val="24"/>
      <w:szCs w:val="24"/>
      <w:lang w:eastAsia="pt-BR"/>
    </w:rPr>
  </w:style>
  <w:style w:type="paragraph" w:styleId="SemEspaamento">
    <w:name w:val="No Spacing"/>
    <w:link w:val="SemEspaamentoChar"/>
    <w:uiPriority w:val="1"/>
    <w:qFormat/>
    <w:rsid w:val="009B7E79"/>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39040">
      <w:bodyDiv w:val="1"/>
      <w:marLeft w:val="0"/>
      <w:marRight w:val="0"/>
      <w:marTop w:val="0"/>
      <w:marBottom w:val="0"/>
      <w:divBdr>
        <w:top w:val="none" w:sz="0" w:space="0" w:color="auto"/>
        <w:left w:val="none" w:sz="0" w:space="0" w:color="auto"/>
        <w:bottom w:val="none" w:sz="0" w:space="0" w:color="auto"/>
        <w:right w:val="none" w:sz="0" w:space="0" w:color="auto"/>
      </w:divBdr>
    </w:div>
    <w:div w:id="633827225">
      <w:bodyDiv w:val="1"/>
      <w:marLeft w:val="0"/>
      <w:marRight w:val="0"/>
      <w:marTop w:val="0"/>
      <w:marBottom w:val="0"/>
      <w:divBdr>
        <w:top w:val="none" w:sz="0" w:space="0" w:color="auto"/>
        <w:left w:val="none" w:sz="0" w:space="0" w:color="auto"/>
        <w:bottom w:val="none" w:sz="0" w:space="0" w:color="auto"/>
        <w:right w:val="none" w:sz="0" w:space="0" w:color="auto"/>
      </w:divBdr>
    </w:div>
    <w:div w:id="672025506">
      <w:bodyDiv w:val="1"/>
      <w:marLeft w:val="0"/>
      <w:marRight w:val="0"/>
      <w:marTop w:val="0"/>
      <w:marBottom w:val="0"/>
      <w:divBdr>
        <w:top w:val="none" w:sz="0" w:space="0" w:color="auto"/>
        <w:left w:val="none" w:sz="0" w:space="0" w:color="auto"/>
        <w:bottom w:val="none" w:sz="0" w:space="0" w:color="auto"/>
        <w:right w:val="none" w:sz="0" w:space="0" w:color="auto"/>
      </w:divBdr>
    </w:div>
    <w:div w:id="875701380">
      <w:bodyDiv w:val="1"/>
      <w:marLeft w:val="0"/>
      <w:marRight w:val="0"/>
      <w:marTop w:val="0"/>
      <w:marBottom w:val="0"/>
      <w:divBdr>
        <w:top w:val="none" w:sz="0" w:space="0" w:color="auto"/>
        <w:left w:val="none" w:sz="0" w:space="0" w:color="auto"/>
        <w:bottom w:val="none" w:sz="0" w:space="0" w:color="auto"/>
        <w:right w:val="none" w:sz="0" w:space="0" w:color="auto"/>
      </w:divBdr>
    </w:div>
    <w:div w:id="1226330258">
      <w:bodyDiv w:val="1"/>
      <w:marLeft w:val="0"/>
      <w:marRight w:val="0"/>
      <w:marTop w:val="0"/>
      <w:marBottom w:val="0"/>
      <w:divBdr>
        <w:top w:val="none" w:sz="0" w:space="0" w:color="auto"/>
        <w:left w:val="none" w:sz="0" w:space="0" w:color="auto"/>
        <w:bottom w:val="none" w:sz="0" w:space="0" w:color="auto"/>
        <w:right w:val="none" w:sz="0" w:space="0" w:color="auto"/>
      </w:divBdr>
    </w:div>
    <w:div w:id="163363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3611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Camara</cp:lastModifiedBy>
  <cp:revision>2</cp:revision>
  <cp:lastPrinted>2023-05-10T17:33:00Z</cp:lastPrinted>
  <dcterms:created xsi:type="dcterms:W3CDTF">2023-05-10T18:06:00Z</dcterms:created>
  <dcterms:modified xsi:type="dcterms:W3CDTF">2023-05-10T18:06:00Z</dcterms:modified>
</cp:coreProperties>
</file>