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F1789" w14:textId="1F238D95" w:rsidR="00807CD1" w:rsidRPr="00807CD1" w:rsidRDefault="00807CD1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0EEB9A" w14:textId="6081E8D0" w:rsidR="00273CBD" w:rsidRPr="00273CBD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5737B6">
        <w:rPr>
          <w:rFonts w:ascii="Courier New" w:hAnsi="Courier New" w:cs="Courier New"/>
          <w:b/>
          <w:sz w:val="24"/>
          <w:szCs w:val="24"/>
          <w:lang w:eastAsia="pt-BR"/>
        </w:rPr>
        <w:t>52/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202</w:t>
      </w:r>
      <w:r w:rsidR="00C237B6">
        <w:rPr>
          <w:rFonts w:ascii="Courier New" w:hAnsi="Courier New" w:cs="Courier New"/>
          <w:b/>
          <w:sz w:val="24"/>
          <w:szCs w:val="24"/>
          <w:lang w:eastAsia="pt-BR"/>
        </w:rPr>
        <w:t>3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747144C4" w14:textId="4C88B0EA" w:rsidR="00273CBD" w:rsidRDefault="00B82AA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5737B6">
        <w:rPr>
          <w:rFonts w:ascii="Courier New" w:hAnsi="Courier New" w:cs="Courier New"/>
          <w:b/>
          <w:sz w:val="24"/>
          <w:szCs w:val="24"/>
          <w:lang w:eastAsia="pt-BR"/>
        </w:rPr>
        <w:t>10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 w:rsidR="005737B6">
        <w:rPr>
          <w:rFonts w:ascii="Courier New" w:hAnsi="Courier New" w:cs="Courier New"/>
          <w:b/>
          <w:sz w:val="24"/>
          <w:szCs w:val="24"/>
          <w:lang w:eastAsia="pt-BR"/>
        </w:rPr>
        <w:t>MAIO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202</w:t>
      </w:r>
      <w:r w:rsidR="00C237B6">
        <w:rPr>
          <w:rFonts w:ascii="Courier New" w:hAnsi="Courier New" w:cs="Courier New"/>
          <w:b/>
          <w:sz w:val="24"/>
          <w:szCs w:val="24"/>
          <w:lang w:eastAsia="pt-BR"/>
        </w:rPr>
        <w:t>3</w:t>
      </w:r>
      <w:r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0B8C16C5" w14:textId="77777777" w:rsidR="0020184C" w:rsidRPr="00273CBD" w:rsidRDefault="0020184C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3867FA88" w14:textId="2833296E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 xml:space="preserve">SÚMULA: </w:t>
      </w:r>
      <w:r w:rsidR="005737B6"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  <w:t>“Regulamenta a Lei 14.133 de 2021 que dispõe sobre licitação e contrato no âmbito do Poder Legislativo de Itanhangá – MT”</w:t>
      </w:r>
    </w:p>
    <w:p w14:paraId="0802F978" w14:textId="77777777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5291DB3" w14:textId="62728369" w:rsid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E283932" w14:textId="77777777" w:rsidR="00C237B6" w:rsidRPr="00273CBD" w:rsidRDefault="00C237B6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BC21121" w14:textId="018BCD52" w:rsid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6B507703" w14:textId="1F814CA4" w:rsidR="009B7E79" w:rsidRDefault="009B7E79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E65E60D" w14:textId="77777777" w:rsidR="00A70EB6" w:rsidRDefault="00A70EB6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70383D2" w14:textId="77777777" w:rsidR="005737B6" w:rsidRPr="00DA73EA" w:rsidRDefault="005737B6" w:rsidP="005737B6">
      <w:pPr>
        <w:spacing w:after="0" w:line="360" w:lineRule="auto"/>
        <w:ind w:firstLine="708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  <w:bookmarkStart w:id="0" w:name="_Hlk9540018"/>
    </w:p>
    <w:p w14:paraId="1CE4E3BC" w14:textId="77777777" w:rsidR="005737B6" w:rsidRPr="00DA73EA" w:rsidRDefault="005737B6" w:rsidP="005737B6">
      <w:pPr>
        <w:spacing w:after="0"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Esta Resolução tem por objetivo regulamentar o quanto disposto na Lei 14.133 de 2021 que trata das Licitações e Contratações no âmbito da do Poder Legislativo da Câmara Municipal de Itanhangá/MT.</w:t>
      </w:r>
    </w:p>
    <w:p w14:paraId="140171F9" w14:textId="77777777" w:rsidR="005737B6" w:rsidRPr="00DA73EA" w:rsidRDefault="005737B6" w:rsidP="005737B6">
      <w:pPr>
        <w:spacing w:after="0"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</w:p>
    <w:p w14:paraId="167E2CA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2º.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</w:t>
      </w:r>
      <w:r w:rsidRPr="00DA73EA">
        <w:rPr>
          <w:rFonts w:ascii="Courier New" w:eastAsia="Arial" w:hAnsi="Courier New" w:cs="Courier New"/>
          <w:lang w:val="pt-PT" w:eastAsia="pt-BR"/>
        </w:rPr>
        <w:t xml:space="preserve">Dentro do prazo fixado no artigo 176, inciso II da Lei 14.133/2021, a Câmara Municipal 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>adotará a dispensa de licitação, na forma física, nas seguintes hipóteses:</w:t>
      </w:r>
    </w:p>
    <w:p w14:paraId="018402A6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contratação de obras e serviços de engenharia ou de serviços de manutenção de veículos automotores, no limite do disposto no inciso I do caput do art. 75 da Lei nº 14.133, de 2021;</w:t>
      </w:r>
    </w:p>
    <w:p w14:paraId="40665712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contratação de bens e serviços, no limite do disposto no inciso II do caput do art. 75 da Lei nº 14.133, de 2021;</w:t>
      </w:r>
    </w:p>
    <w:p w14:paraId="3127334B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contratação de obras, bens e serviços, incluídos os serviços de engenharia, nos termos do disposto no inciso III e seguintes do caput do art. 75 da Lei nº 14.133, de 2021, quando cabível; e</w:t>
      </w:r>
    </w:p>
    <w:p w14:paraId="47E79CD0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IV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registro de preços para a contratação de bens e serviços por mais de um órgão ou entidade, nos termos do § 6º do art. 82 da Lei nº 14.133, de 2021.</w:t>
      </w:r>
    </w:p>
    <w:p w14:paraId="1B77A5D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lastRenderedPageBreak/>
        <w:t>§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Para fins de aferição dos valores que atendam aos limites, referidos nos incisos I e II do caput deste artigo, deverão ser observados:</w:t>
      </w:r>
    </w:p>
    <w:p w14:paraId="5822E201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somatório despendido no exercício financeiro pela respectiva unidade gestora; e</w:t>
      </w:r>
    </w:p>
    <w:p w14:paraId="4D452E95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somatório da despesa realizada com objetos de mesma natureza, entendidos como tais aqueles relativos a contratações no mesmo ramo de atividade.</w:t>
      </w:r>
    </w:p>
    <w:p w14:paraId="7218EB62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2º.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</w:t>
      </w:r>
      <w:r w:rsidRPr="00DA73EA">
        <w:rPr>
          <w:rFonts w:ascii="Courier New" w:eastAsia="Arial" w:hAnsi="Courier New" w:cs="Courier New"/>
          <w:lang w:val="pt-PT" w:eastAsia="pt-BR"/>
        </w:rPr>
        <w:t>Considera-se ramo de atividade a partição econômica do mercado, identificada pelo nível de subclasse da Classificação Nacional de Atividades Econômicas - CNAE.</w:t>
      </w:r>
    </w:p>
    <w:p w14:paraId="410B05F6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3º.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disposto no § 1º deste artigo não se aplica às contratações de até R$ 9.153,34 (nove mil cento e cinquenta e três reais e trinta e quatro centavos) de serviços de manutenção de veículos automotores de propriedade do órgão ou entidade contratante, incluído o fornecimento de peças, de que trata o § 7º do art. 75 da Lei nº 14.133, de 2021, cujos valores foram atualizados na forma do Decreto Federal 11.317/2022.</w:t>
      </w:r>
    </w:p>
    <w:p w14:paraId="5EF095D7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4º.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Os valores referidos nos incisos I e II do caput serão duplicados para compras, obras e serviços contratados por consórcio público ou por autarquia ou fundação qualificadas como agências executivas na forma da lei.</w:t>
      </w:r>
    </w:p>
    <w:p w14:paraId="4EB1536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5º.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Quando do enquadramento de bens, serviços ou obras nos termos das hipóteses previstas neste artigo, a autoridade competente pela autorização e a autoridade superior responsável pela adjudicação e pela homologação da contratação devem observar o disposto no art. 73 da Lei nº 14.133, de 2021, e no art. 337-E do Decreto-Lei nº 2.848, de 7 de dezembro de 1940 (código penal).</w:t>
      </w:r>
    </w:p>
    <w:p w14:paraId="03D8E798" w14:textId="77777777" w:rsidR="005737B6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6º.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Fica facultado o uso da dispensa eletrônica, que caso adotado, deverá seguir regulamento próprio.</w:t>
      </w:r>
    </w:p>
    <w:p w14:paraId="3339518A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</w:p>
    <w:p w14:paraId="38F9F220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CAPÍTULO II</w:t>
      </w:r>
    </w:p>
    <w:p w14:paraId="67CA8B0B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DO PROCEDIMENTO</w:t>
      </w:r>
    </w:p>
    <w:p w14:paraId="60450188" w14:textId="77777777" w:rsidR="005737B6" w:rsidRPr="00DA73EA" w:rsidRDefault="005737B6" w:rsidP="005737B6">
      <w:pPr>
        <w:pStyle w:val="SemEspaamento"/>
        <w:rPr>
          <w:highlight w:val="white"/>
          <w:lang w:val="pt-PT"/>
        </w:rPr>
      </w:pPr>
    </w:p>
    <w:p w14:paraId="5258A4C2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</w:t>
      </w:r>
    </w:p>
    <w:p w14:paraId="2DB584F6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Introdução</w:t>
      </w:r>
    </w:p>
    <w:p w14:paraId="27BAAD15" w14:textId="77777777" w:rsidR="005737B6" w:rsidRPr="00DA73EA" w:rsidRDefault="005737B6" w:rsidP="005737B6">
      <w:pPr>
        <w:pStyle w:val="SemEspaamento"/>
        <w:rPr>
          <w:highlight w:val="white"/>
          <w:lang w:val="pt-PT"/>
        </w:rPr>
      </w:pPr>
    </w:p>
    <w:p w14:paraId="3F8EBEB1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3º.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procedimento de dispensa de licitação, na forma física, será instruído com os seguintes documentos, no mínimo:</w:t>
      </w:r>
    </w:p>
    <w:p w14:paraId="623671C0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documento de formalização de demanda e, se for o caso, estudo técnico preliminar, análise de riscos, termo de referência, projeto básico ou projeto executivo;</w:t>
      </w:r>
    </w:p>
    <w:p w14:paraId="5DB6D0B4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estimativa de despesa; </w:t>
      </w:r>
    </w:p>
    <w:p w14:paraId="49717031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parecer jurídico e pareceres técnicos, se for o </w:t>
      </w:r>
      <w:r w:rsidRPr="00DA73EA">
        <w:rPr>
          <w:rFonts w:ascii="Courier New" w:eastAsia="Arial" w:hAnsi="Courier New" w:cs="Courier New"/>
          <w:lang w:val="pt-PT" w:eastAsia="pt-BR"/>
        </w:rPr>
        <w:t>caso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>, que demonstrem o atendimento dos requisitos exigidos;</w:t>
      </w:r>
    </w:p>
    <w:p w14:paraId="1FE9E9BC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IV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demonstração da compatibilidade da previsão de recursos orçamentários com o compromisso a ser assumido;</w:t>
      </w:r>
    </w:p>
    <w:p w14:paraId="6BB89448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comprovação de que o contratado preenche os requisitos de habilitação e qualificação mínima necessária;</w:t>
      </w:r>
    </w:p>
    <w:p w14:paraId="231D76D5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razão de escolha do contratado;</w:t>
      </w:r>
    </w:p>
    <w:p w14:paraId="3C6499C7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justificativa de preço, </w:t>
      </w:r>
      <w:r w:rsidRPr="00DA73EA">
        <w:rPr>
          <w:rFonts w:ascii="Courier New" w:eastAsia="Arial" w:hAnsi="Courier New" w:cs="Courier New"/>
          <w:lang w:val="pt-PT" w:eastAsia="pt-BR"/>
        </w:rPr>
        <w:t>se for o caso; e</w:t>
      </w:r>
    </w:p>
    <w:p w14:paraId="7A6C3D4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VIII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autorização da autoridade competente.</w:t>
      </w:r>
    </w:p>
    <w:p w14:paraId="2578ED9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Na hipótese de registro de preços, de que dispõe o inciso IV do art. 2º, somente será exigida a previsão de recursos orçamentários, nos termos do inciso IV do caput, quando da formalização do contrato ou de outro instrumento hábil.</w:t>
      </w:r>
    </w:p>
    <w:p w14:paraId="2B40B23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2º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>. O ato que autoriza a contratação direta deverá ser divulgado e mantido à disposição do público em sítio eletrônico oficial do órgão ou entidade promotora do procedimento.</w:t>
      </w:r>
    </w:p>
    <w:p w14:paraId="6C01F6CB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</w:t>
      </w:r>
    </w:p>
    <w:p w14:paraId="2265AB88" w14:textId="77777777" w:rsidR="005737B6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Edital</w:t>
      </w:r>
    </w:p>
    <w:p w14:paraId="31723588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</w:p>
    <w:p w14:paraId="057C73E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4º.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órgão ou entidade deverá publicar edital com as seguintes informações para a realização do procedimento de contratação, objetivando o recebimento de propostas adicionais de eventuais interessados:</w:t>
      </w:r>
    </w:p>
    <w:p w14:paraId="12783CEB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 especificação do objeto a ser adquirido ou contratado;</w:t>
      </w:r>
    </w:p>
    <w:p w14:paraId="29C5B37A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as quantidades e o preço estimado de cada item, nos termos do disposto no inciso II do art. 3º, observada a respectiva unidade de fornecimento;</w:t>
      </w:r>
    </w:p>
    <w:p w14:paraId="20831A5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local e o prazo de entrega do bem, prestação do serviço ou realização da obra;</w:t>
      </w:r>
    </w:p>
    <w:p w14:paraId="6095B52C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IV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 observância das disposições previstas na Lei Complementar nº 123, de 14 de dezembro de 2006.</w:t>
      </w:r>
    </w:p>
    <w:p w14:paraId="6A543CB6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as condições da contratação e as sanções motivadas pela inexecução total ou parcial do ajuste;</w:t>
      </w:r>
    </w:p>
    <w:p w14:paraId="3CAA0941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 data e o horário máximo de envio da documentação e proposta/cotação de preços, respeitado o horário comercial.</w:t>
      </w:r>
    </w:p>
    <w:p w14:paraId="6231D51C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VII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– endereço eletrônico (e-mail) para envio da documentação e proposta/cotação de preços, sendo facultado a previsão de entrega da documentação e proposta/preços no setor de licitações, mediante protocolo. </w:t>
      </w:r>
    </w:p>
    <w:p w14:paraId="2CC96C7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prazo fixado para abertura e julgamento do procedimento, não será inferior a 3 (três) dias úteis, contados da data de divulgação do aviso de contratação direta, na imprensa oficial do Município.</w:t>
      </w:r>
    </w:p>
    <w:p w14:paraId="4653BEAB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§2º.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No prazo entre a publicação do edital e a abertura e julgamento das propostas todos interessados em participar da dispensa poderão oferertar propostas/lances com todos os documentos de habilitação  e capacidade exigidos, através do e-mail disponibilizado no edital ou mediante protocolo físico, observado o horário de funcionamento do órgão.</w:t>
      </w:r>
    </w:p>
    <w:p w14:paraId="15C675F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 xml:space="preserve">§3º. 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>Nas contratações cujo valor total não ultrapasse 40% (quarenta por cento) do valor previsto no artigo 2º, incisos I e II desta Resolução, fica facultando a publicação do edital de que trata o “caput” ou a realização de estimativa de preços concomitantemente à seleção da proposta mais vantajosa.</w:t>
      </w:r>
    </w:p>
    <w:p w14:paraId="79A9833C" w14:textId="77777777" w:rsidR="005737B6" w:rsidRPr="00DA73EA" w:rsidRDefault="005737B6" w:rsidP="005737B6">
      <w:pPr>
        <w:spacing w:line="360" w:lineRule="auto"/>
        <w:ind w:firstLine="709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5º.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aviso de edital será divulgado no Diário Oficial do Município, bem como será disponibilizado sua integra no site oficial da Câmara Municipal de Itanhangá/MT.</w:t>
      </w:r>
    </w:p>
    <w:p w14:paraId="56B7E47A" w14:textId="77777777" w:rsidR="005737B6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</w:pPr>
    </w:p>
    <w:p w14:paraId="0BE1E086" w14:textId="77777777" w:rsidR="005737B6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</w:pPr>
    </w:p>
    <w:p w14:paraId="771C9F90" w14:textId="67C501C5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III</w:t>
      </w:r>
    </w:p>
    <w:p w14:paraId="20224070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Fornecedor </w:t>
      </w:r>
    </w:p>
    <w:p w14:paraId="5D0EDC88" w14:textId="77777777" w:rsidR="005737B6" w:rsidRPr="00DA73EA" w:rsidRDefault="005737B6" w:rsidP="005737B6">
      <w:pPr>
        <w:pStyle w:val="SemEspaamento"/>
        <w:rPr>
          <w:highlight w:val="white"/>
          <w:lang w:val="pt-PT"/>
        </w:rPr>
      </w:pPr>
    </w:p>
    <w:p w14:paraId="1E2F3110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6º.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fornecedor interessado, após a divulgação do aviso de contratação direta, encaminhará, por meio eletrônico ou por protocolo, no setor de licitações, a proposta/lance com a descrição do objeto ofertado, a marca do produto, quando for o caso, e o preço, até a data e o horário estabelecidos para abertura do procedimento, devendo, ainda, apresentar declarações com as seguintes informações:</w:t>
      </w:r>
    </w:p>
    <w:p w14:paraId="1379FC9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bCs/>
          <w:highlight w:val="white"/>
          <w:lang w:val="pt-PT" w:eastAsia="pt-BR"/>
        </w:rPr>
        <w:t>I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- a inexistência de fato impeditivo para licitar ou contratar com a Administração Pública;</w:t>
      </w:r>
    </w:p>
    <w:p w14:paraId="49DD1004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bCs/>
          <w:highlight w:val="white"/>
          <w:lang w:val="pt-PT" w:eastAsia="pt-BR"/>
        </w:rPr>
        <w:t>II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- o enquadramento na condição de microempresa e empresa de pequeno porte, nos termos da Lei Complementar nº 123, de 2006, quando couber;</w:t>
      </w:r>
    </w:p>
    <w:p w14:paraId="40BC4265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bCs/>
          <w:highlight w:val="white"/>
          <w:lang w:val="pt-PT" w:eastAsia="pt-BR"/>
        </w:rPr>
        <w:t>III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- o pleno conhecimento e aceitação das regras e das condições gerais da contratação, constantes do procedimento;</w:t>
      </w:r>
    </w:p>
    <w:p w14:paraId="114BE77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bCs/>
          <w:highlight w:val="white"/>
          <w:lang w:val="pt-PT" w:eastAsia="pt-BR"/>
        </w:rPr>
        <w:t>IV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- o cumprimento das exigências de reserva de cargos para pessoa com deficiência e para reabilitado da Previdência Social, de que trata o art. 93 da Lei nº 8.213, de 24 de julho de 1991, se couber; e</w:t>
      </w:r>
    </w:p>
    <w:p w14:paraId="27FBCB1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highlight w:val="white"/>
          <w:lang w:val="pt-PT" w:eastAsia="pt-BR"/>
        </w:rPr>
        <w:t>V - o cumprimento do disposto no inciso VI do art. 68 da Lei nº 14.133, de 2021.</w:t>
      </w:r>
    </w:p>
    <w:p w14:paraId="01AA61A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7º.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Caberá ao fornecedor certificar do efetivo recebimento da proposta e documentação pelo órgão licitante, ficando responsável pelo ônus decorrente da perda do negócio, caso a documentação não seja recebida dentro do prazo máximo fixado no edital.</w:t>
      </w:r>
    </w:p>
    <w:p w14:paraId="00705381" w14:textId="77777777" w:rsidR="005737B6" w:rsidRPr="00DA73EA" w:rsidRDefault="005737B6" w:rsidP="005737B6">
      <w:pPr>
        <w:spacing w:after="0" w:line="240" w:lineRule="auto"/>
        <w:ind w:firstLine="708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70403290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CAPÍTULO III</w:t>
      </w:r>
    </w:p>
    <w:p w14:paraId="69E09FB6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DO JULGAMENTO E DA HABILITAÇÃO</w:t>
      </w:r>
    </w:p>
    <w:p w14:paraId="695BFB61" w14:textId="77777777" w:rsidR="005737B6" w:rsidRPr="00DA73EA" w:rsidRDefault="005737B6" w:rsidP="005737B6">
      <w:pPr>
        <w:spacing w:after="0" w:line="360" w:lineRule="auto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08C7B885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</w:t>
      </w:r>
    </w:p>
    <w:p w14:paraId="70FE7897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Julgamento</w:t>
      </w:r>
    </w:p>
    <w:p w14:paraId="6D65347C" w14:textId="77777777" w:rsidR="005737B6" w:rsidRPr="00DA73EA" w:rsidRDefault="005737B6" w:rsidP="005737B6">
      <w:pPr>
        <w:spacing w:line="360" w:lineRule="auto"/>
        <w:ind w:firstLine="708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5E9B6E2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8º.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Encerrado o prazo para envio da proposta e documentação, o órgão ou entidade realizará a verificação da conformidade das propostas recebidas, quanto à adequação ao objeto e à compatibilidade do preço em relação ao estipulado para a contratação, ordenando a ordem de classificação.</w:t>
      </w:r>
    </w:p>
    <w:p w14:paraId="0BDDF124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9º.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Definido o resultado do julgamento, quando a proposta do primeiro colocado permanecer acima do preço máximo definido para a contratação, o órgão ou a entidade poderá negociar condições mais vantajosas.</w:t>
      </w:r>
    </w:p>
    <w:p w14:paraId="5C78A82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Na hipótese de a estimativa de preços ser realizada concomitantemente à seleção da proposta economicamente mais vantajosa, nos termos do §2º do art. 4º desta Resolução, a verificação quanto à compatibilidade de preços será formal e deverá considerar, no mínimo, o número de concorrentes no procedimento e os valores por eles ofertados.</w:t>
      </w:r>
    </w:p>
    <w:p w14:paraId="1BD8A5BC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2º.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Concluída a negociação, se houver, o resultado será registrado na ata do procedimento, devendo esta ser anexada aos autos do processo de contratação.</w:t>
      </w:r>
    </w:p>
    <w:p w14:paraId="615AD98A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10.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A negociação poderá ser feita com os demais fornecedores classificados, respeitada a ordem de classificação, quando o primeiro colocado, mesmo após a negociação, for desclassificado em razão de sua proposta permanecer acima do preço máximo definido para a contratação, observado o disposto nos §§ 1º e 2º do art. 9º.</w:t>
      </w:r>
    </w:p>
    <w:p w14:paraId="75585E78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11.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Definida a proposta vencedora, o órgão ou a entidade deverá solicitar, o envio da proposta, adequada conforme negociação, e, se necessário, de documentos complementares.</w:t>
      </w:r>
    </w:p>
    <w:p w14:paraId="5A2D0B8B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Parágrafo único.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No caso de contratação em que o procedimento exija apresentação de planilhas com indicação dos quantitativos e dos custos unitários ou de custos e formação de preços, esta deverá ser encaminhada com os respectivos valores readequados à negociação.</w:t>
      </w:r>
    </w:p>
    <w:p w14:paraId="0D20A758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II</w:t>
      </w:r>
    </w:p>
    <w:p w14:paraId="38C09843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Habilitação</w:t>
      </w:r>
    </w:p>
    <w:p w14:paraId="4F9E0C25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7D44BE0E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12.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Para a habilitação do fornecedor mais bem classificado serão exigidas, exclusivamente, as condições de que dispõe a Lei nº 14.133, de 2021.</w:t>
      </w:r>
    </w:p>
    <w:p w14:paraId="513C1E6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§ 1º.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Os documentos necessários à habilitação deverão ser enviados concomitantemente a proposta, via email ou protocolado no setor de licitação, até a data e horário devidos no edital.</w:t>
      </w:r>
    </w:p>
    <w:p w14:paraId="0A66AD2F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13.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No caso de contratações para entrega imediata, considerada aquela com prazo de entrega de até 30 (trinta) dias da ordem de fornecimento, e nas contratações com valores inferiores a 1/4 (um quarto) do limite para dispensa de licitação para compras em geral e nas contratações de produto para pesquisa e desenvolvimento de que trata a alínea "c" do inciso IV do art. 75 da Lei nº14.133, de 2021, somente será exigida das pessoas jurídicas a comprovação da regularidade fiscal federal, social e trabalhista e, das pessoas físicas, a quitação com a Fazenda Federal.</w:t>
      </w:r>
    </w:p>
    <w:p w14:paraId="200EA92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14.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Constatado o atendimento às exigências estabelecidas no art. 12, o fornecedor será habilitado.</w:t>
      </w:r>
    </w:p>
    <w:p w14:paraId="6D7C4F80" w14:textId="77777777" w:rsidR="005737B6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Parágrafo único.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Na hipótese de o fornecedor não atender às exigências para a habilitação, o órgão ou entidade examinará a proposta subsequente e assim sucessivamente, na ordem de classificação, até a apuração de uma proposta que atenda às especificações do objeto e as condições de habilitação.</w:t>
      </w:r>
    </w:p>
    <w:p w14:paraId="5502D7E3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</w:p>
    <w:p w14:paraId="6920F901" w14:textId="77777777" w:rsidR="005737B6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Seção III</w:t>
      </w:r>
    </w:p>
    <w:p w14:paraId="30FD7787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</w:p>
    <w:p w14:paraId="06DF398F" w14:textId="77777777" w:rsidR="005737B6" w:rsidRPr="00DA73EA" w:rsidRDefault="005737B6" w:rsidP="005737B6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val="pt-PT" w:eastAsia="pt-BR"/>
        </w:rPr>
      </w:pPr>
      <w:r w:rsidRPr="00DA73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val="pt-PT" w:eastAsia="pt-BR"/>
        </w:rPr>
        <w:t>Procedimento fracassado ou deserto</w:t>
      </w:r>
    </w:p>
    <w:p w14:paraId="3CAFC950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3ECADBE7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15.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No caso do procedimento restar fracassado, o órgão ou entidade poderá:</w:t>
      </w:r>
    </w:p>
    <w:p w14:paraId="0762FE98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republicar o procedimento;</w:t>
      </w:r>
    </w:p>
    <w:p w14:paraId="7BCDC03E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fixar prazo para que os fornecedores interessados possam adequar as suas propostas ou sua situação no que se refere à habilitação; ou</w:t>
      </w:r>
    </w:p>
    <w:p w14:paraId="1F54FF1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III -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valer-se, para a contratação, de proposta obtida na pesquisa de preços que serviu de base ao procedimento, se houver, privilegiando-se os menores preços, sempre que possível, e desde que atendidas às condições de habilitação exigidas.</w:t>
      </w:r>
    </w:p>
    <w:p w14:paraId="1ACBC74A" w14:textId="77777777" w:rsidR="005737B6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 xml:space="preserve">Parágrafo único. 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>O disposto nos incisos I e III caput poderá ser utilizado nas hipóteses de o procedimento restar deserto.</w:t>
      </w:r>
    </w:p>
    <w:p w14:paraId="16A92DD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</w:p>
    <w:p w14:paraId="735131CD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CAPÍTULO IV</w:t>
      </w:r>
    </w:p>
    <w:p w14:paraId="0CF0805C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DA ADJUDICAÇÃO E DA HOMOLOGAÇÃO</w:t>
      </w:r>
    </w:p>
    <w:p w14:paraId="0178F8B5" w14:textId="77777777" w:rsidR="005737B6" w:rsidRPr="00DA73EA" w:rsidRDefault="005737B6" w:rsidP="005737B6">
      <w:pPr>
        <w:spacing w:after="0" w:line="360" w:lineRule="auto"/>
        <w:ind w:firstLine="708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18E9DC79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16.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Encerradas a etapa de julgamento e de habilitação, o processo será encaminhado à autoridade superior para adjudicação do objeto e homologação do procedimento, observado, no que couber, o disposto no art. 71 da Lei nº 14.133, de 2021.</w:t>
      </w:r>
    </w:p>
    <w:p w14:paraId="5EBBC195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CAPÍTULO V</w:t>
      </w:r>
    </w:p>
    <w:p w14:paraId="63FE5C3D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DAS SANÇÕES ADMINISTRATIVAS</w:t>
      </w:r>
    </w:p>
    <w:p w14:paraId="30256FEB" w14:textId="77777777" w:rsidR="005737B6" w:rsidRPr="00DA73EA" w:rsidRDefault="005737B6" w:rsidP="005737B6">
      <w:pPr>
        <w:spacing w:after="0" w:line="360" w:lineRule="auto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27436975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17.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 fornecedor estará sujeito às sanções administrativas previstas na Lei nº 14.133, de 2021, e em outras legislações aplicáveis, sem prejuízo da eventual anulação da nota de empenho de despesa ou da rescisão do instrumento contratual.</w:t>
      </w:r>
    </w:p>
    <w:p w14:paraId="6031743C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CAPÍTULO VI</w:t>
      </w:r>
    </w:p>
    <w:p w14:paraId="64450D9E" w14:textId="77777777" w:rsidR="005737B6" w:rsidRPr="00DA73EA" w:rsidRDefault="005737B6" w:rsidP="005737B6">
      <w:pPr>
        <w:spacing w:after="0" w:line="240" w:lineRule="auto"/>
        <w:jc w:val="center"/>
        <w:rPr>
          <w:rFonts w:ascii="Courier New" w:eastAsia="Arial" w:hAnsi="Courier New" w:cs="Courier New"/>
          <w:b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DISPOSIÇÕES FINAIS</w:t>
      </w:r>
    </w:p>
    <w:p w14:paraId="48284ED9" w14:textId="77777777" w:rsidR="005737B6" w:rsidRPr="00DA73EA" w:rsidRDefault="005737B6" w:rsidP="005737B6">
      <w:pPr>
        <w:spacing w:after="0" w:line="360" w:lineRule="auto"/>
        <w:ind w:firstLine="708"/>
        <w:jc w:val="both"/>
        <w:rPr>
          <w:rFonts w:ascii="Courier New" w:eastAsia="Arial" w:hAnsi="Courier New" w:cs="Courier New"/>
          <w:b/>
          <w:highlight w:val="white"/>
          <w:lang w:val="pt-PT" w:eastAsia="pt-BR"/>
        </w:rPr>
      </w:pPr>
    </w:p>
    <w:p w14:paraId="4D65BC9D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18.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Os horários estabelecidos na divulgação do procedimento e recebimento de propostas e documentos observarão o horário do Estado de Mato Grosso e quanto as propostas com protocolo físico observarão o horário de funcionamento da Câmara Municipal de Itanhangá/MT.</w:t>
      </w:r>
    </w:p>
    <w:p w14:paraId="5301AE72" w14:textId="77777777" w:rsidR="005737B6" w:rsidRPr="00DA73EA" w:rsidRDefault="005737B6" w:rsidP="005737B6">
      <w:pPr>
        <w:spacing w:line="360" w:lineRule="auto"/>
        <w:ind w:firstLine="708"/>
        <w:jc w:val="both"/>
        <w:rPr>
          <w:rFonts w:ascii="Courier New" w:eastAsia="Arial" w:hAnsi="Courier New" w:cs="Courier New"/>
          <w:highlight w:val="white"/>
          <w:lang w:val="pt-PT" w:eastAsia="pt-BR"/>
        </w:rPr>
      </w:pPr>
      <w:r w:rsidRPr="00DA73EA">
        <w:rPr>
          <w:rFonts w:ascii="Courier New" w:eastAsia="Arial" w:hAnsi="Courier New" w:cs="Courier New"/>
          <w:b/>
          <w:highlight w:val="white"/>
          <w:lang w:val="pt-PT" w:eastAsia="pt-BR"/>
        </w:rPr>
        <w:t>Art. 19.</w:t>
      </w:r>
      <w:r w:rsidRPr="00DA73EA">
        <w:rPr>
          <w:rFonts w:ascii="Courier New" w:eastAsia="Arial" w:hAnsi="Courier New" w:cs="Courier New"/>
          <w:highlight w:val="white"/>
          <w:lang w:val="pt-PT" w:eastAsia="pt-BR"/>
        </w:rPr>
        <w:t xml:space="preserve"> Esta Resolução entra em vigor na data de sua publicação.</w:t>
      </w:r>
    </w:p>
    <w:p w14:paraId="24A43E7C" w14:textId="77777777" w:rsidR="00C237B6" w:rsidRPr="00C237B6" w:rsidRDefault="00C237B6" w:rsidP="00C237B6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E1BB925" w14:textId="77777777" w:rsidR="00C237B6" w:rsidRPr="00C237B6" w:rsidRDefault="00C237B6" w:rsidP="00C237B6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789A9841" w14:textId="77777777" w:rsidR="00C237B6" w:rsidRPr="00C237B6" w:rsidRDefault="00C237B6" w:rsidP="00C237B6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5DCFF152" w14:textId="2467ACF8" w:rsidR="00C237B6" w:rsidRPr="00C237B6" w:rsidRDefault="00C237B6" w:rsidP="00C237B6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 xml:space="preserve">Câmara Municipal de Itanhangá/MT, de </w:t>
      </w:r>
      <w:r w:rsidR="005737B6">
        <w:rPr>
          <w:rFonts w:ascii="Courier New" w:eastAsia="Calibri" w:hAnsi="Courier New" w:cs="Courier New"/>
          <w:sz w:val="24"/>
          <w:szCs w:val="24"/>
          <w:lang w:eastAsia="pt-BR"/>
        </w:rPr>
        <w:t>10 de maio</w:t>
      </w:r>
      <w:r w:rsidRPr="00C237B6">
        <w:rPr>
          <w:rFonts w:ascii="Courier New" w:eastAsia="Calibri" w:hAnsi="Courier New" w:cs="Courier New"/>
          <w:sz w:val="24"/>
          <w:szCs w:val="24"/>
          <w:lang w:eastAsia="pt-BR"/>
        </w:rPr>
        <w:t xml:space="preserve"> de 2023.</w:t>
      </w:r>
    </w:p>
    <w:p w14:paraId="0D69AC6F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2A08E967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32EEEE68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C237B6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33CEB65" w14:textId="77777777" w:rsidR="00C237B6" w:rsidRPr="00C237B6" w:rsidRDefault="00C237B6" w:rsidP="00C237B6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C237B6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231F2C7A" w14:textId="77777777" w:rsidR="00C237B6" w:rsidRPr="00C237B6" w:rsidRDefault="00C237B6" w:rsidP="00C237B6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C237B6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077BCA3E" w14:textId="4535F963" w:rsid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b/>
          <w:sz w:val="24"/>
          <w:szCs w:val="24"/>
          <w:lang w:eastAsia="pt-BR"/>
        </w:rPr>
      </w:pPr>
      <w:bookmarkStart w:id="1" w:name="_GoBack"/>
      <w:bookmarkEnd w:id="1"/>
    </w:p>
    <w:p w14:paraId="42AD19CA" w14:textId="77777777" w:rsidR="00C237B6" w:rsidRPr="007B40B9" w:rsidRDefault="00C237B6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bookmarkEnd w:id="0"/>
    <w:p w14:paraId="69EAD277" w14:textId="77777777" w:rsidR="00273CBD" w:rsidRPr="007B40B9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075968C" w14:textId="77777777" w:rsidR="00C82B7D" w:rsidRPr="00E9296F" w:rsidRDefault="00C82B7D" w:rsidP="00C82B7D">
      <w:pPr>
        <w:pStyle w:val="SemEspaamento"/>
        <w:jc w:val="center"/>
        <w:rPr>
          <w:rFonts w:ascii="Courier New" w:hAnsi="Courier New" w:cs="Courier New"/>
        </w:rPr>
      </w:pPr>
    </w:p>
    <w:p w14:paraId="4A1D4DE7" w14:textId="77777777" w:rsidR="00C82B7D" w:rsidRPr="00E9296F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Zilmar Albuquerque Rodrigues </w:t>
      </w:r>
    </w:p>
    <w:p w14:paraId="4DDB296A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6BD0A41E" w14:textId="77777777" w:rsidR="00C82B7D" w:rsidRPr="00E9296F" w:rsidRDefault="00C82B7D" w:rsidP="00C82B7D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3E350038" w14:textId="77777777" w:rsidR="00C82B7D" w:rsidRPr="00BF5A8B" w:rsidRDefault="00C82B7D" w:rsidP="00C82B7D">
      <w:pPr>
        <w:spacing w:after="0" w:line="240" w:lineRule="auto"/>
        <w:rPr>
          <w:rFonts w:ascii="Arial" w:hAnsi="Arial" w:cs="Arial"/>
        </w:rPr>
      </w:pPr>
    </w:p>
    <w:p w14:paraId="23E79F58" w14:textId="77777777" w:rsidR="009B7E79" w:rsidRDefault="009B7E79" w:rsidP="009B7E79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09F397B" w14:textId="77777777" w:rsidR="00002991" w:rsidRDefault="00002991" w:rsidP="00002991"/>
    <w:sectPr w:rsidR="00002991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5D6B" w14:textId="77777777" w:rsidR="00002991" w:rsidRDefault="00002991" w:rsidP="00002991">
      <w:pPr>
        <w:spacing w:after="0" w:line="240" w:lineRule="auto"/>
      </w:pPr>
      <w:r>
        <w:separator/>
      </w:r>
    </w:p>
  </w:endnote>
  <w:endnote w:type="continuationSeparator" w:id="0">
    <w:p w14:paraId="37C20A36" w14:textId="77777777" w:rsidR="00002991" w:rsidRDefault="0000299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B8897" w14:textId="67E945BF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8F4F7F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8F4F7F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358005A1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Fone: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76211" w14:textId="77777777" w:rsidR="00002991" w:rsidRDefault="00002991" w:rsidP="00002991">
      <w:pPr>
        <w:spacing w:after="0" w:line="240" w:lineRule="auto"/>
      </w:pPr>
      <w:r>
        <w:separator/>
      </w:r>
    </w:p>
  </w:footnote>
  <w:footnote w:type="continuationSeparator" w:id="0">
    <w:p w14:paraId="367DDD3A" w14:textId="77777777" w:rsidR="00002991" w:rsidRDefault="0000299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B419B" w14:textId="4671BC4C" w:rsidR="008E3D76" w:rsidRDefault="009D32EF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0F069CC6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8F4F7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3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8F4F7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34FC1"/>
    <w:rsid w:val="000351BE"/>
    <w:rsid w:val="000966C2"/>
    <w:rsid w:val="000F25FA"/>
    <w:rsid w:val="0020184C"/>
    <w:rsid w:val="00273CBD"/>
    <w:rsid w:val="0035123D"/>
    <w:rsid w:val="003803F8"/>
    <w:rsid w:val="003C4DB1"/>
    <w:rsid w:val="003D39BD"/>
    <w:rsid w:val="00444878"/>
    <w:rsid w:val="00450F5C"/>
    <w:rsid w:val="004665EE"/>
    <w:rsid w:val="004D3FD8"/>
    <w:rsid w:val="00571EAA"/>
    <w:rsid w:val="005737B6"/>
    <w:rsid w:val="005F46FE"/>
    <w:rsid w:val="006B4FDB"/>
    <w:rsid w:val="006D28DE"/>
    <w:rsid w:val="0076673A"/>
    <w:rsid w:val="00777D84"/>
    <w:rsid w:val="007B40B9"/>
    <w:rsid w:val="00807CD1"/>
    <w:rsid w:val="008D6D64"/>
    <w:rsid w:val="008E3D76"/>
    <w:rsid w:val="008F4F7F"/>
    <w:rsid w:val="009045FF"/>
    <w:rsid w:val="009B7E79"/>
    <w:rsid w:val="009D3244"/>
    <w:rsid w:val="009D32EF"/>
    <w:rsid w:val="00A26B00"/>
    <w:rsid w:val="00A70EB6"/>
    <w:rsid w:val="00B82AAD"/>
    <w:rsid w:val="00C06EFF"/>
    <w:rsid w:val="00C237B6"/>
    <w:rsid w:val="00C254EA"/>
    <w:rsid w:val="00C82B7D"/>
    <w:rsid w:val="00C96043"/>
    <w:rsid w:val="00CC1AE2"/>
    <w:rsid w:val="00DC68FA"/>
    <w:rsid w:val="00E10B18"/>
    <w:rsid w:val="00EB4436"/>
    <w:rsid w:val="00F4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1984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2023-05-10T17:33:00Z</cp:lastPrinted>
  <dcterms:created xsi:type="dcterms:W3CDTF">2023-05-10T18:24:00Z</dcterms:created>
  <dcterms:modified xsi:type="dcterms:W3CDTF">2023-05-10T17:33:00Z</dcterms:modified>
</cp:coreProperties>
</file>