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EE0972">
        <w:rPr>
          <w:rFonts w:eastAsia="Calibri"/>
          <w:b/>
          <w:bCs/>
          <w:szCs w:val="24"/>
        </w:rPr>
        <w:t>7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144B90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69777C">
        <w:rPr>
          <w:rFonts w:eastAsia="Times New Roman"/>
          <w:szCs w:val="24"/>
        </w:rPr>
        <w:t>“</w:t>
      </w:r>
      <w:bookmarkStart w:id="0" w:name="_Hlk204002687"/>
      <w:r w:rsidR="0079372F" w:rsidRPr="00603E5C">
        <w:rPr>
          <w:rFonts w:eastAsia="Times New Roman"/>
          <w:color w:val="auto"/>
          <w:szCs w:val="24"/>
        </w:rPr>
        <w:t xml:space="preserve">Fica instituído a </w:t>
      </w:r>
      <w:r w:rsidR="003F323C" w:rsidRPr="00603E5C">
        <w:rPr>
          <w:rFonts w:eastAsia="Times New Roman"/>
          <w:color w:val="auto"/>
          <w:szCs w:val="24"/>
        </w:rPr>
        <w:t xml:space="preserve">“Semana da orientação profissional para o primeiro emprego” nas </w:t>
      </w:r>
      <w:r w:rsidR="003F323C">
        <w:rPr>
          <w:rFonts w:eastAsia="Times New Roman"/>
          <w:szCs w:val="24"/>
        </w:rPr>
        <w:t xml:space="preserve">escolas </w:t>
      </w:r>
      <w:r w:rsidRPr="0069777C">
        <w:rPr>
          <w:rFonts w:eastAsia="Times New Roman"/>
          <w:szCs w:val="24"/>
        </w:rPr>
        <w:t>no município de Itanhangá-MT</w:t>
      </w:r>
      <w:r w:rsidR="0079372F" w:rsidRPr="0069777C">
        <w:rPr>
          <w:rFonts w:eastAsia="Times New Roman"/>
          <w:szCs w:val="24"/>
        </w:rPr>
        <w:t xml:space="preserve"> e </w:t>
      </w:r>
      <w:r w:rsidR="00CE307D" w:rsidRPr="0069777C">
        <w:rPr>
          <w:rFonts w:eastAsia="Times New Roman"/>
          <w:szCs w:val="24"/>
        </w:rPr>
        <w:t>das outras providências</w:t>
      </w:r>
      <w:r w:rsidR="0079372F" w:rsidRPr="0069777C">
        <w:rPr>
          <w:rFonts w:eastAsia="Times New Roman"/>
          <w:szCs w:val="24"/>
        </w:rPr>
        <w:t>.</w:t>
      </w:r>
      <w:bookmarkEnd w:id="0"/>
      <w:r w:rsidR="0079372F" w:rsidRPr="0069777C">
        <w:rPr>
          <w:rFonts w:eastAsia="Times New Roman"/>
          <w:szCs w:val="24"/>
        </w:rPr>
        <w:t>”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79372F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 w:rsidR="003F323C">
        <w:rPr>
          <w:rFonts w:eastAsia="Calibri"/>
          <w:szCs w:val="24"/>
        </w:rPr>
        <w:t>Fica instituída a “semana da orientação profissional para o primeiro emprego “a ser realizada anualmente e da outras providencias.</w:t>
      </w:r>
    </w:p>
    <w:p w:rsidR="00007BDE" w:rsidRPr="00F477FB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2º</w:t>
      </w:r>
      <w:r w:rsidRPr="00232363">
        <w:rPr>
          <w:rFonts w:eastAsia="Calibri"/>
          <w:szCs w:val="24"/>
        </w:rPr>
        <w:t xml:space="preserve"> </w:t>
      </w:r>
      <w:r w:rsidR="003F323C">
        <w:rPr>
          <w:rFonts w:eastAsia="Calibri"/>
          <w:szCs w:val="24"/>
        </w:rPr>
        <w:t>Na semana que o art. 1° desta Lei, as e</w:t>
      </w:r>
      <w:r w:rsidR="00B84075">
        <w:rPr>
          <w:rFonts w:eastAsia="Calibri"/>
          <w:szCs w:val="24"/>
        </w:rPr>
        <w:t>s</w:t>
      </w:r>
      <w:r w:rsidR="003F323C">
        <w:rPr>
          <w:rFonts w:eastAsia="Calibri"/>
          <w:szCs w:val="24"/>
        </w:rPr>
        <w:t xml:space="preserve">colas </w:t>
      </w:r>
      <w:r w:rsidR="00B84075">
        <w:rPr>
          <w:rFonts w:eastAsia="Calibri"/>
          <w:szCs w:val="24"/>
        </w:rPr>
        <w:t>públicas</w:t>
      </w:r>
      <w:r w:rsidR="003F323C">
        <w:rPr>
          <w:rFonts w:eastAsia="Calibri"/>
          <w:szCs w:val="24"/>
        </w:rPr>
        <w:t xml:space="preserve"> municipais poderão realizar atividades destinadas a orientação profissional dos alunos devidamente matriculadas no nono ano e no ensino médio.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3F323C" w:rsidRPr="00B84075" w:rsidRDefault="00007BDE" w:rsidP="00A61573">
      <w:pPr>
        <w:pStyle w:val="SemEspaamento"/>
        <w:rPr>
          <w:rFonts w:eastAsia="Calibri"/>
          <w:bCs/>
          <w:szCs w:val="24"/>
        </w:rPr>
      </w:pPr>
      <w:r w:rsidRPr="00E37915">
        <w:rPr>
          <w:rFonts w:eastAsia="Calibri"/>
          <w:b/>
          <w:bCs/>
          <w:szCs w:val="24"/>
        </w:rPr>
        <w:t>Art. 3º</w:t>
      </w:r>
      <w:r w:rsidR="003F323C">
        <w:rPr>
          <w:rFonts w:eastAsia="Calibri"/>
          <w:b/>
          <w:bCs/>
          <w:szCs w:val="24"/>
        </w:rPr>
        <w:t xml:space="preserve"> </w:t>
      </w:r>
      <w:r w:rsidR="003F323C" w:rsidRPr="00B84075">
        <w:rPr>
          <w:rFonts w:eastAsia="Calibri"/>
          <w:bCs/>
          <w:szCs w:val="24"/>
        </w:rPr>
        <w:t>o conjunto de atividades mencionadas no art.2° desta lei, tem o objetivo de:</w:t>
      </w:r>
    </w:p>
    <w:p w:rsidR="00B84075" w:rsidRPr="00B84075" w:rsidRDefault="00B84075" w:rsidP="00A61573">
      <w:pPr>
        <w:pStyle w:val="SemEspaamento"/>
        <w:rPr>
          <w:rFonts w:eastAsia="Calibri"/>
          <w:bCs/>
          <w:szCs w:val="24"/>
        </w:rPr>
      </w:pPr>
    </w:p>
    <w:p w:rsidR="003F323C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I:</w:t>
      </w:r>
      <w:r w:rsidRPr="00B84075">
        <w:rPr>
          <w:rFonts w:eastAsia="Calibri"/>
          <w:bCs/>
          <w:szCs w:val="24"/>
        </w:rPr>
        <w:t xml:space="preserve"> Informar os estudantes, quais são as </w:t>
      </w:r>
      <w:r w:rsidR="00B84075" w:rsidRPr="00B84075">
        <w:rPr>
          <w:rFonts w:eastAsia="Calibri"/>
          <w:bCs/>
          <w:szCs w:val="24"/>
        </w:rPr>
        <w:t>principais</w:t>
      </w:r>
      <w:r w:rsidRPr="00B84075">
        <w:rPr>
          <w:rFonts w:eastAsia="Calibri"/>
          <w:bCs/>
          <w:szCs w:val="24"/>
        </w:rPr>
        <w:t xml:space="preserve"> profissões existentes no mercado de trabalho e seus </w:t>
      </w:r>
      <w:r w:rsidR="00B84075" w:rsidRPr="00B84075">
        <w:rPr>
          <w:rFonts w:eastAsia="Calibri"/>
          <w:bCs/>
          <w:szCs w:val="24"/>
        </w:rPr>
        <w:t>requisitos</w:t>
      </w:r>
      <w:r w:rsidRPr="00B84075">
        <w:rPr>
          <w:rFonts w:eastAsia="Calibri"/>
          <w:bCs/>
          <w:szCs w:val="24"/>
        </w:rPr>
        <w:t xml:space="preserve"> para o ingresso.</w:t>
      </w:r>
    </w:p>
    <w:p w:rsidR="00B84075" w:rsidRPr="00B84075" w:rsidRDefault="00B84075" w:rsidP="00A61573">
      <w:pPr>
        <w:pStyle w:val="SemEspaamento"/>
        <w:rPr>
          <w:rFonts w:eastAsia="Calibri"/>
          <w:bCs/>
          <w:szCs w:val="24"/>
        </w:rPr>
      </w:pPr>
    </w:p>
    <w:p w:rsidR="003F323C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II:</w:t>
      </w:r>
      <w:r w:rsidRPr="00B84075">
        <w:rPr>
          <w:rFonts w:eastAsia="Calibri"/>
          <w:bCs/>
          <w:szCs w:val="24"/>
        </w:rPr>
        <w:t xml:space="preserve"> Esclarecer os estudantes a respeito das </w:t>
      </w:r>
      <w:r w:rsidR="00B84075" w:rsidRPr="00B84075">
        <w:rPr>
          <w:rFonts w:eastAsia="Calibri"/>
          <w:bCs/>
          <w:szCs w:val="24"/>
        </w:rPr>
        <w:t>principais</w:t>
      </w:r>
      <w:r w:rsidRPr="00B84075">
        <w:rPr>
          <w:rFonts w:eastAsia="Calibri"/>
          <w:bCs/>
          <w:szCs w:val="24"/>
        </w:rPr>
        <w:t xml:space="preserve"> profissões existentes no mercado de trabalho</w:t>
      </w:r>
      <w:r w:rsidR="00B84075">
        <w:rPr>
          <w:rFonts w:eastAsia="Calibri"/>
          <w:bCs/>
          <w:szCs w:val="24"/>
        </w:rPr>
        <w:t>.</w:t>
      </w:r>
      <w:r w:rsidRPr="00B84075">
        <w:rPr>
          <w:rFonts w:eastAsia="Calibri"/>
          <w:bCs/>
          <w:szCs w:val="24"/>
        </w:rPr>
        <w:t xml:space="preserve"> </w:t>
      </w:r>
    </w:p>
    <w:p w:rsidR="00B84075" w:rsidRPr="00B84075" w:rsidRDefault="00B84075" w:rsidP="00A61573">
      <w:pPr>
        <w:pStyle w:val="SemEspaamento"/>
        <w:rPr>
          <w:rFonts w:eastAsia="Calibri"/>
          <w:bCs/>
          <w:szCs w:val="24"/>
        </w:rPr>
      </w:pPr>
    </w:p>
    <w:p w:rsidR="003F323C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III.</w:t>
      </w:r>
      <w:r w:rsidRPr="00B84075">
        <w:rPr>
          <w:rFonts w:eastAsia="Calibri"/>
          <w:bCs/>
          <w:szCs w:val="24"/>
        </w:rPr>
        <w:t xml:space="preserve"> Apresentar e esclarecer duvidas acerca da Lei 10.097/2000. </w:t>
      </w:r>
      <w:r w:rsidR="00B84075" w:rsidRPr="00B84075">
        <w:rPr>
          <w:rFonts w:eastAsia="Calibri"/>
          <w:bCs/>
          <w:szCs w:val="24"/>
        </w:rPr>
        <w:t>Conhecida</w:t>
      </w:r>
      <w:r w:rsidRPr="00B84075">
        <w:rPr>
          <w:rFonts w:eastAsia="Calibri"/>
          <w:bCs/>
          <w:szCs w:val="24"/>
        </w:rPr>
        <w:t xml:space="preserve"> como Lei de Aprendizagem.</w:t>
      </w:r>
    </w:p>
    <w:p w:rsidR="00B84075" w:rsidRPr="00B84075" w:rsidRDefault="00B84075" w:rsidP="00A61573">
      <w:pPr>
        <w:pStyle w:val="SemEspaamento"/>
        <w:rPr>
          <w:rFonts w:eastAsia="Calibri"/>
          <w:bCs/>
          <w:szCs w:val="24"/>
        </w:rPr>
      </w:pPr>
    </w:p>
    <w:p w:rsidR="00B84075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IV:</w:t>
      </w:r>
      <w:r w:rsidRPr="00B84075">
        <w:rPr>
          <w:rFonts w:eastAsia="Calibri"/>
          <w:bCs/>
          <w:szCs w:val="24"/>
        </w:rPr>
        <w:t xml:space="preserve"> esclarecer </w:t>
      </w:r>
      <w:r w:rsidR="00B84075" w:rsidRPr="00B84075">
        <w:rPr>
          <w:rFonts w:eastAsia="Calibri"/>
          <w:bCs/>
          <w:szCs w:val="24"/>
        </w:rPr>
        <w:t>dúvidas</w:t>
      </w:r>
      <w:r w:rsidRPr="00B84075">
        <w:rPr>
          <w:rFonts w:eastAsia="Calibri"/>
          <w:bCs/>
          <w:szCs w:val="24"/>
        </w:rPr>
        <w:t xml:space="preserve"> sobre os contratos de aprendizagem</w:t>
      </w:r>
      <w:r w:rsidR="00B84075">
        <w:rPr>
          <w:rFonts w:eastAsia="Calibri"/>
          <w:bCs/>
          <w:szCs w:val="24"/>
        </w:rPr>
        <w:t>.</w:t>
      </w:r>
    </w:p>
    <w:p w:rsidR="003F323C" w:rsidRPr="00B84075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Cs/>
          <w:szCs w:val="24"/>
        </w:rPr>
        <w:t xml:space="preserve"> </w:t>
      </w:r>
    </w:p>
    <w:p w:rsidR="003F323C" w:rsidRPr="00B84075" w:rsidRDefault="003F323C" w:rsidP="00A61573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V:</w:t>
      </w:r>
      <w:r w:rsidR="00B84075" w:rsidRPr="00B84075">
        <w:rPr>
          <w:rFonts w:eastAsia="Calibri"/>
          <w:bCs/>
          <w:szCs w:val="24"/>
        </w:rPr>
        <w:t>Informar sobre agendas, associações,</w:t>
      </w:r>
      <w:r w:rsidR="00B84075">
        <w:rPr>
          <w:rFonts w:eastAsia="Calibri"/>
          <w:bCs/>
          <w:szCs w:val="24"/>
        </w:rPr>
        <w:t xml:space="preserve"> </w:t>
      </w:r>
      <w:r w:rsidR="00B84075" w:rsidRPr="00B84075">
        <w:rPr>
          <w:rFonts w:eastAsia="Calibri"/>
          <w:bCs/>
          <w:szCs w:val="24"/>
        </w:rPr>
        <w:t xml:space="preserve">profissionalizantes, programas, órgãos ou entidades que incentivem a contratação de menores aprendiz. </w:t>
      </w:r>
      <w:r w:rsidRPr="00B84075">
        <w:rPr>
          <w:rFonts w:eastAsia="Calibri"/>
          <w:bCs/>
          <w:szCs w:val="24"/>
        </w:rPr>
        <w:t xml:space="preserve"> </w:t>
      </w:r>
    </w:p>
    <w:p w:rsidR="003F323C" w:rsidRDefault="003F323C" w:rsidP="00A61573">
      <w:pPr>
        <w:pStyle w:val="SemEspaamento"/>
        <w:rPr>
          <w:rFonts w:eastAsia="Calibri"/>
          <w:szCs w:val="24"/>
        </w:rPr>
      </w:pPr>
    </w:p>
    <w:p w:rsidR="00B84075" w:rsidRDefault="00B84075" w:rsidP="00A61573">
      <w:pPr>
        <w:pStyle w:val="SemEspaamento"/>
        <w:rPr>
          <w:rFonts w:eastAsia="Calibri"/>
          <w:szCs w:val="24"/>
        </w:rPr>
      </w:pPr>
      <w:r w:rsidRPr="00B84075">
        <w:rPr>
          <w:rFonts w:eastAsia="Calibri"/>
          <w:b/>
          <w:szCs w:val="24"/>
        </w:rPr>
        <w:lastRenderedPageBreak/>
        <w:t>Art. 4°</w:t>
      </w:r>
      <w:r w:rsidRPr="00B84075">
        <w:rPr>
          <w:rFonts w:eastAsia="Calibri"/>
          <w:szCs w:val="24"/>
        </w:rPr>
        <w:t xml:space="preserve"> As</w:t>
      </w:r>
      <w:r>
        <w:rPr>
          <w:rFonts w:eastAsia="Calibri"/>
          <w:b/>
          <w:szCs w:val="24"/>
        </w:rPr>
        <w:t xml:space="preserve"> </w:t>
      </w:r>
      <w:r w:rsidRPr="00B84075">
        <w:rPr>
          <w:rFonts w:eastAsia="Calibri"/>
          <w:szCs w:val="24"/>
        </w:rPr>
        <w:t>atividades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consistirão em exposições durante as aulas, discussões em grupos e demais recursos didáticos disponíveis.</w:t>
      </w:r>
    </w:p>
    <w:p w:rsidR="00B84075" w:rsidRDefault="00B84075" w:rsidP="00A61573">
      <w:pPr>
        <w:pStyle w:val="SemEspaamento"/>
        <w:rPr>
          <w:rFonts w:eastAsia="Calibri"/>
          <w:szCs w:val="24"/>
        </w:rPr>
      </w:pPr>
    </w:p>
    <w:p w:rsidR="00B84075" w:rsidRDefault="00B84075" w:rsidP="00A61573">
      <w:pPr>
        <w:pStyle w:val="SemEspaamento"/>
        <w:rPr>
          <w:rFonts w:eastAsia="Calibri"/>
          <w:szCs w:val="24"/>
        </w:rPr>
      </w:pPr>
      <w:r w:rsidRPr="00B84075">
        <w:rPr>
          <w:rFonts w:eastAsia="Calibri"/>
          <w:b/>
          <w:szCs w:val="24"/>
        </w:rPr>
        <w:t xml:space="preserve">Art. 5° </w:t>
      </w:r>
      <w:r w:rsidRPr="00B84075">
        <w:rPr>
          <w:rFonts w:eastAsia="Calibri"/>
          <w:szCs w:val="24"/>
        </w:rPr>
        <w:t>Para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a melhor consecução dos objetivos da “Semana</w:t>
      </w:r>
      <w:r>
        <w:rPr>
          <w:rFonts w:eastAsia="Calibri"/>
          <w:b/>
          <w:szCs w:val="24"/>
        </w:rPr>
        <w:t xml:space="preserve"> </w:t>
      </w:r>
      <w:r w:rsidRPr="00603E5C">
        <w:rPr>
          <w:rFonts w:eastAsia="Calibri"/>
          <w:szCs w:val="24"/>
        </w:rPr>
        <w:t xml:space="preserve">de orientação profissional para o melhor emprego”, a Secretaria de </w:t>
      </w:r>
      <w:r w:rsidR="00603E5C" w:rsidRPr="00603E5C">
        <w:rPr>
          <w:rFonts w:eastAsia="Calibri"/>
          <w:szCs w:val="24"/>
        </w:rPr>
        <w:t>Educação</w:t>
      </w:r>
      <w:r w:rsidRPr="00603E5C">
        <w:rPr>
          <w:rFonts w:eastAsia="Calibri"/>
          <w:szCs w:val="24"/>
        </w:rPr>
        <w:t xml:space="preserve"> em parceria com as outras secretarias poderão convidar profissionais de </w:t>
      </w:r>
      <w:r w:rsidR="00603E5C" w:rsidRPr="00603E5C">
        <w:rPr>
          <w:rFonts w:eastAsia="Calibri"/>
          <w:szCs w:val="24"/>
        </w:rPr>
        <w:t>várias</w:t>
      </w:r>
      <w:r w:rsidRPr="00603E5C">
        <w:rPr>
          <w:rFonts w:eastAsia="Calibri"/>
          <w:szCs w:val="24"/>
        </w:rPr>
        <w:t xml:space="preserve"> áreas para proferirem as palestras, discorrendo sobre suas exp</w:t>
      </w:r>
      <w:r w:rsidR="00603E5C" w:rsidRPr="00603E5C">
        <w:rPr>
          <w:rFonts w:eastAsia="Calibri"/>
          <w:szCs w:val="24"/>
        </w:rPr>
        <w:t>eriencias profissionais bem como realizar atividades pedagógicas em conjuntos com profissional, alunos e demais convidados.</w:t>
      </w:r>
    </w:p>
    <w:p w:rsidR="00603E5C" w:rsidRDefault="00603E5C" w:rsidP="00A61573">
      <w:pPr>
        <w:pStyle w:val="SemEspaamento"/>
        <w:rPr>
          <w:rFonts w:eastAsia="Calibri"/>
          <w:szCs w:val="24"/>
        </w:rPr>
      </w:pPr>
    </w:p>
    <w:p w:rsidR="00603E5C" w:rsidRPr="00603E5C" w:rsidRDefault="00603E5C" w:rsidP="00A61573">
      <w:pPr>
        <w:pStyle w:val="SemEspaamento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Art. 6° </w:t>
      </w:r>
      <w:r w:rsidRPr="00603E5C">
        <w:rPr>
          <w:rFonts w:eastAsia="Calibri"/>
          <w:szCs w:val="24"/>
        </w:rPr>
        <w:t>Para execução da presente Lei, deve-se ações que não impliquem ônus para o poder público municipal.</w:t>
      </w:r>
    </w:p>
    <w:p w:rsidR="00603E5C" w:rsidRPr="00603E5C" w:rsidRDefault="00603E5C" w:rsidP="00A61573">
      <w:pPr>
        <w:pStyle w:val="SemEspaamento"/>
        <w:rPr>
          <w:rFonts w:eastAsia="Calibri"/>
          <w:szCs w:val="24"/>
        </w:rPr>
      </w:pPr>
    </w:p>
    <w:p w:rsidR="00603E5C" w:rsidRPr="00603E5C" w:rsidRDefault="00603E5C" w:rsidP="00A61573">
      <w:pPr>
        <w:pStyle w:val="SemEspaamento"/>
        <w:rPr>
          <w:rFonts w:eastAsia="Calibri"/>
          <w:szCs w:val="24"/>
        </w:rPr>
      </w:pPr>
      <w:r w:rsidRPr="00603E5C">
        <w:rPr>
          <w:rFonts w:eastAsia="Calibri"/>
          <w:b/>
          <w:szCs w:val="24"/>
        </w:rPr>
        <w:t>Art. 7°</w:t>
      </w:r>
      <w:r>
        <w:rPr>
          <w:rFonts w:eastAsia="Calibri"/>
          <w:szCs w:val="24"/>
        </w:rPr>
        <w:t xml:space="preserve"> O executivo regulamentara a presente lei no prazo de 45 dias.</w:t>
      </w:r>
    </w:p>
    <w:p w:rsidR="003F323C" w:rsidRDefault="00603E5C" w:rsidP="00603E5C">
      <w:pPr>
        <w:pStyle w:val="SemEspaamento"/>
        <w:tabs>
          <w:tab w:val="left" w:pos="1320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:rsidR="00007BDE" w:rsidRPr="00A61573" w:rsidRDefault="00603E5C" w:rsidP="00603E5C">
      <w:pPr>
        <w:pStyle w:val="SemEspaamento"/>
        <w:tabs>
          <w:tab w:val="left" w:pos="1320"/>
        </w:tabs>
        <w:rPr>
          <w:rFonts w:eastAsia="Calibri"/>
          <w:szCs w:val="24"/>
        </w:rPr>
      </w:pPr>
      <w:r w:rsidRPr="00603E5C">
        <w:rPr>
          <w:rFonts w:eastAsia="Calibri"/>
          <w:b/>
          <w:szCs w:val="24"/>
        </w:rPr>
        <w:t>Art. 8°</w:t>
      </w:r>
      <w:r>
        <w:rPr>
          <w:rFonts w:eastAsia="Calibri"/>
          <w:szCs w:val="24"/>
        </w:rPr>
        <w:t xml:space="preserve"> </w:t>
      </w:r>
      <w:r w:rsidR="00A61573" w:rsidRPr="00232363">
        <w:rPr>
          <w:rFonts w:eastAsia="Calibri"/>
          <w:szCs w:val="24"/>
        </w:rPr>
        <w:t>Esta lei entra em vigor na data de sua publicação</w:t>
      </w:r>
      <w:r w:rsidR="00A61573">
        <w:rPr>
          <w:rFonts w:eastAsia="Calibri"/>
          <w:szCs w:val="24"/>
        </w:rPr>
        <w:t>.</w:t>
      </w: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603E5C">
        <w:rPr>
          <w:szCs w:val="24"/>
        </w:rPr>
        <w:t>21</w:t>
      </w:r>
      <w:r w:rsidRPr="00232363">
        <w:rPr>
          <w:szCs w:val="24"/>
        </w:rPr>
        <w:t xml:space="preserve"> de </w:t>
      </w:r>
      <w:r>
        <w:rPr>
          <w:szCs w:val="24"/>
        </w:rPr>
        <w:t>ju</w:t>
      </w:r>
      <w:r w:rsidR="00603E5C">
        <w:rPr>
          <w:szCs w:val="24"/>
        </w:rPr>
        <w:t>l</w:t>
      </w:r>
      <w:r>
        <w:rPr>
          <w:szCs w:val="24"/>
        </w:rPr>
        <w:t>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007BDE" w:rsidRDefault="00007BDE" w:rsidP="00F21489">
      <w:pPr>
        <w:pStyle w:val="SemEspaamento"/>
        <w:ind w:left="0" w:firstLine="0"/>
        <w:rPr>
          <w:b/>
        </w:rPr>
      </w:pPr>
    </w:p>
    <w:p w:rsidR="00007BDE" w:rsidRPr="00D46041" w:rsidRDefault="00007BDE" w:rsidP="00007BDE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>
        <w:rPr>
          <w:b/>
          <w:szCs w:val="24"/>
        </w:rPr>
        <w:t>1</w:t>
      </w:r>
      <w:r w:rsidR="00603E5C">
        <w:rPr>
          <w:b/>
          <w:szCs w:val="24"/>
        </w:rPr>
        <w:t>8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F21489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F21489" w:rsidRDefault="00F21489" w:rsidP="00F21489">
      <w:pPr>
        <w:spacing w:after="0"/>
        <w:rPr>
          <w:szCs w:val="24"/>
        </w:rPr>
      </w:pPr>
    </w:p>
    <w:p w:rsidR="00603E5C" w:rsidRDefault="00007BDE" w:rsidP="00603E5C">
      <w:pPr>
        <w:spacing w:after="0"/>
      </w:pPr>
      <w:r>
        <w:t xml:space="preserve">Servimo-nos da presente, para submeter à apreciação e aprovação dos Senhores Vereadores do Projeto de Lei n. </w:t>
      </w:r>
      <w:r w:rsidR="0079372F">
        <w:t>1</w:t>
      </w:r>
      <w:r w:rsidR="00EE0972">
        <w:t>7</w:t>
      </w:r>
      <w:bookmarkStart w:id="1" w:name="_GoBack"/>
      <w:bookmarkEnd w:id="1"/>
      <w:r>
        <w:t>/202</w:t>
      </w:r>
      <w:r w:rsidR="0079372F">
        <w:t>5</w:t>
      </w:r>
      <w:r>
        <w:t xml:space="preserve"> –</w:t>
      </w:r>
      <w:r w:rsidR="00603E5C" w:rsidRPr="00603E5C">
        <w:rPr>
          <w:rFonts w:eastAsia="Times New Roman"/>
          <w:color w:val="auto"/>
          <w:szCs w:val="24"/>
        </w:rPr>
        <w:t xml:space="preserve"> Fica instituído a “Semana da orientação profissional para o primeiro emprego” nas </w:t>
      </w:r>
      <w:r w:rsidR="00603E5C">
        <w:rPr>
          <w:rFonts w:eastAsia="Times New Roman"/>
          <w:szCs w:val="24"/>
        </w:rPr>
        <w:t xml:space="preserve">escolas </w:t>
      </w:r>
      <w:r w:rsidR="00603E5C" w:rsidRPr="0069777C">
        <w:rPr>
          <w:rFonts w:eastAsia="Times New Roman"/>
          <w:szCs w:val="24"/>
        </w:rPr>
        <w:t>no município de Itanhangá-MT e das outras providências</w:t>
      </w:r>
      <w:r w:rsidR="00603E5C">
        <w:t xml:space="preserve"> </w:t>
      </w:r>
      <w:r w:rsidR="00A61573">
        <w:t xml:space="preserve">Este projeto visa </w:t>
      </w:r>
      <w:r w:rsidR="009E46E2">
        <w:t>como objetivo oferecer aos jovens acesso a orientação sobre profissões e ao mercado de trabalho, entendendo que o trabalho e um fator estruturalmente da identidade, proporcionando um sentido de vida e de preparação para o futuro.</w:t>
      </w:r>
    </w:p>
    <w:p w:rsidR="009E46E2" w:rsidRDefault="009E46E2" w:rsidP="00603E5C">
      <w:pPr>
        <w:spacing w:after="0"/>
      </w:pPr>
      <w:r>
        <w:t xml:space="preserve">Essa preparação pode ocorrer por meio da qualificação escolar, acadêmico ou técnico, ainda com o conhecimento especifico em áreas do mercado de trabalho, a </w:t>
      </w:r>
      <w:r w:rsidR="00F21489">
        <w:t>qualificação adequada</w:t>
      </w:r>
      <w:r>
        <w:t xml:space="preserve">, facilitar a escolha profissional e prepara </w:t>
      </w:r>
      <w:r w:rsidR="00F21489">
        <w:t>os jovens</w:t>
      </w:r>
      <w:r>
        <w:t xml:space="preserve"> para as exigências do mercado tornando apto para assumir responsabilidades.</w:t>
      </w:r>
    </w:p>
    <w:p w:rsidR="009E46E2" w:rsidRDefault="009E46E2" w:rsidP="00603E5C">
      <w:pPr>
        <w:spacing w:after="0"/>
      </w:pPr>
      <w:r>
        <w:t xml:space="preserve">Existem diversos programas governamentais como o “Meu primeiro emprego” Pronatec (Lei n°12.517/2011) </w:t>
      </w:r>
      <w:proofErr w:type="spellStart"/>
      <w:r>
        <w:t>Projovem</w:t>
      </w:r>
      <w:proofErr w:type="spellEnd"/>
      <w:r>
        <w:t xml:space="preserve"> (Lei n°10.097/2000.) que visam apoia jovens em sua inserção no mercado de trabalho.</w:t>
      </w:r>
    </w:p>
    <w:p w:rsidR="009E46E2" w:rsidRDefault="009E46E2" w:rsidP="00603E5C">
      <w:pPr>
        <w:spacing w:after="0"/>
      </w:pPr>
      <w:r>
        <w:t>O acesso a informações e a oportunidade de participar desses programas</w:t>
      </w:r>
      <w:r w:rsidR="00F21489">
        <w:t xml:space="preserve">, incluindo ofertas do setor privado, são essenciais para o desenvolvimento dos jovens, o trabalho não </w:t>
      </w:r>
      <w:proofErr w:type="spellStart"/>
      <w:r w:rsidR="00F21489">
        <w:t>so</w:t>
      </w:r>
      <w:proofErr w:type="spellEnd"/>
      <w:r w:rsidR="00F21489">
        <w:t xml:space="preserve"> facilitar a aquisição de habilidades e valores como responsabilidades, compromisso, respeito, mas também contribuindo  para a independência pessoal e financeira, influenciando positivamente a construção da identidade e dos paradigmas que os jovens adotarão.</w:t>
      </w:r>
    </w:p>
    <w:p w:rsidR="00007BDE" w:rsidRPr="00F21489" w:rsidRDefault="00CE307D" w:rsidP="00F21489">
      <w:pPr>
        <w:spacing w:after="0"/>
        <w:ind w:left="0" w:firstLine="0"/>
        <w:rPr>
          <w:szCs w:val="24"/>
        </w:rPr>
      </w:pPr>
      <w:r w:rsidRPr="00CE307D">
        <w:rPr>
          <w:szCs w:val="24"/>
        </w:rPr>
        <w:t>Diante do exposto submeto o presente Projeto de Lei a elevada apreciação dos nobres vereadores colegas, na expectativa de que após qualquer tramitação seja ao final deliberado e aprovado na devida forma regimental.</w:t>
      </w:r>
    </w:p>
    <w:p w:rsidR="00007BDE" w:rsidRDefault="00007BDE" w:rsidP="00007BDE">
      <w:pPr>
        <w:jc w:val="center"/>
        <w:rPr>
          <w:b/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D503BA" w:rsidRPr="00F21489" w:rsidRDefault="00007BDE" w:rsidP="00F21489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sectPr w:rsidR="00D503BA" w:rsidRPr="00F2148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CE303AA"/>
    <w:multiLevelType w:val="hybridMultilevel"/>
    <w:tmpl w:val="9C444FAE"/>
    <w:lvl w:ilvl="0" w:tplc="73620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3E3C5175"/>
    <w:multiLevelType w:val="hybridMultilevel"/>
    <w:tmpl w:val="32FE82C6"/>
    <w:lvl w:ilvl="0" w:tplc="1700C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84AC5"/>
    <w:rsid w:val="00296F6F"/>
    <w:rsid w:val="002B579F"/>
    <w:rsid w:val="003F323C"/>
    <w:rsid w:val="00470A39"/>
    <w:rsid w:val="004A6F5F"/>
    <w:rsid w:val="00527CE7"/>
    <w:rsid w:val="005C4760"/>
    <w:rsid w:val="005D67C5"/>
    <w:rsid w:val="00603E5C"/>
    <w:rsid w:val="00674347"/>
    <w:rsid w:val="00677594"/>
    <w:rsid w:val="0069777C"/>
    <w:rsid w:val="00732932"/>
    <w:rsid w:val="00745F2F"/>
    <w:rsid w:val="0079372F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D1653"/>
    <w:rsid w:val="009E46E2"/>
    <w:rsid w:val="00A271EA"/>
    <w:rsid w:val="00A61573"/>
    <w:rsid w:val="00AD7FD1"/>
    <w:rsid w:val="00B224D9"/>
    <w:rsid w:val="00B6616B"/>
    <w:rsid w:val="00B84075"/>
    <w:rsid w:val="00BA49E8"/>
    <w:rsid w:val="00BF576E"/>
    <w:rsid w:val="00C02BFB"/>
    <w:rsid w:val="00C50AD1"/>
    <w:rsid w:val="00C75B2A"/>
    <w:rsid w:val="00C81667"/>
    <w:rsid w:val="00CC7C7B"/>
    <w:rsid w:val="00CE307D"/>
    <w:rsid w:val="00D503BA"/>
    <w:rsid w:val="00E05401"/>
    <w:rsid w:val="00EE0972"/>
    <w:rsid w:val="00F063D9"/>
    <w:rsid w:val="00F21489"/>
    <w:rsid w:val="00F477FB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90D925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9C97-3BBA-4CC3-8BBD-C09AC7A9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4</cp:revision>
  <cp:lastPrinted>2025-06-16T17:33:00Z</cp:lastPrinted>
  <dcterms:created xsi:type="dcterms:W3CDTF">2025-07-22T16:42:00Z</dcterms:created>
  <dcterms:modified xsi:type="dcterms:W3CDTF">2025-07-29T16:42:00Z</dcterms:modified>
</cp:coreProperties>
</file>