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317DDB31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4622F9">
        <w:rPr>
          <w:rFonts w:ascii="Courier New" w:eastAsia="Times New Roman" w:hAnsi="Courier New" w:cs="Courier New"/>
          <w:b/>
          <w:sz w:val="24"/>
          <w:szCs w:val="24"/>
        </w:rPr>
        <w:t>7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03F407F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A7570C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0E72743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4B1E2A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26A89EE7" w14:textId="0D63CB11" w:rsidR="009C3963" w:rsidRPr="009C3963" w:rsidRDefault="00D1095A" w:rsidP="009C3963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9C3963" w:rsidRPr="009C396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9C3963" w:rsidRPr="009C3963">
        <w:rPr>
          <w:rFonts w:ascii="Courier New" w:eastAsia="Times New Roman" w:hAnsi="Courier New" w:cs="Courier New"/>
          <w:i/>
          <w:iCs/>
          <w:sz w:val="24"/>
          <w:szCs w:val="24"/>
        </w:rPr>
        <w:t>“Autoriza a adaptação de parques e áreas de lazer com brinquedos acessíveis para crianças com deficiências motora, conforme específica”.</w:t>
      </w:r>
    </w:p>
    <w:p w14:paraId="493D4023" w14:textId="2DE4DA16" w:rsidR="00D1095A" w:rsidRPr="00686146" w:rsidRDefault="00686146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4128132F" w14:textId="77777777" w:rsidR="009C3963" w:rsidRDefault="009C3963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5167900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sz w:val="24"/>
          <w:szCs w:val="24"/>
        </w:rPr>
        <w:t>Art.1º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- Fica autorizado o Poder Executivo a equipar os parques e áreas de lazer com brinquedos adaptados para crianças com deficiência motora.</w:t>
      </w:r>
    </w:p>
    <w:p w14:paraId="7A2CF0A1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2918459A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i/>
          <w:iCs/>
          <w:sz w:val="24"/>
          <w:szCs w:val="24"/>
        </w:rPr>
        <w:t>Parágrafo único: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 xml:space="preserve"> O disposto neste artigo também se aplica às escolas municipais que possuam salas de educação especial e infraestrutura de lazer destinada aos alunos com deficiência.</w:t>
      </w:r>
    </w:p>
    <w:p w14:paraId="2332FB31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75DB3CE5" w14:textId="1250055C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sz w:val="24"/>
          <w:szCs w:val="24"/>
        </w:rPr>
        <w:t>Art.2º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-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O Poder Executiva divulgar amplamente o cronograma de instalação dos brinquedos adaptados nos parques, nas áreas de lazer e nas escolas municipais.</w:t>
      </w:r>
    </w:p>
    <w:p w14:paraId="76BC22EF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2A9533DF" w14:textId="22EA5B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sz w:val="24"/>
          <w:szCs w:val="24"/>
        </w:rPr>
        <w:t>Art.3º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-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As despesas com a instalação dos brinquedos correrão por conta de dotação orçamentária, podendo contar com a parceria de empresas privadas para viabilização do projeto.</w:t>
      </w:r>
    </w:p>
    <w:p w14:paraId="38F3AE08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77682F56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sz w:val="24"/>
          <w:szCs w:val="24"/>
        </w:rPr>
        <w:t>Art.4º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- Fica autorizado o Poder Executivo Municipal a firmar convênios com empresas, instituições e órgãos públicos necessários para o cumprimento integral desta lei.</w:t>
      </w:r>
    </w:p>
    <w:p w14:paraId="72ECEC8D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063BD63C" w14:textId="77777777" w:rsidR="009C3963" w:rsidRPr="009C3963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9C3963">
        <w:rPr>
          <w:rFonts w:ascii="Courier New" w:eastAsia="Times New Roman" w:hAnsi="Courier New" w:cs="Courier New"/>
          <w:b/>
          <w:sz w:val="24"/>
          <w:szCs w:val="24"/>
        </w:rPr>
        <w:t>Art.5º</w:t>
      </w:r>
      <w:r w:rsidRPr="009C3963">
        <w:rPr>
          <w:rFonts w:ascii="Courier New" w:eastAsia="Times New Roman" w:hAnsi="Courier New" w:cs="Courier New"/>
          <w:bCs/>
          <w:sz w:val="24"/>
          <w:szCs w:val="24"/>
        </w:rPr>
        <w:t>- Esta Lei entra em vigor na data de sua publicação.</w:t>
      </w:r>
    </w:p>
    <w:p w14:paraId="111DF9A8" w14:textId="766D12AF" w:rsidR="00FE26B0" w:rsidRDefault="009C3963" w:rsidP="009C3963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9C3963">
        <w:rPr>
          <w:rFonts w:ascii="Courier New" w:eastAsia="Times New Roman" w:hAnsi="Courier New" w:cs="Courier New"/>
          <w:sz w:val="24"/>
          <w:szCs w:val="24"/>
        </w:rPr>
        <w:t> </w:t>
      </w:r>
      <w:r w:rsidRPr="009C3963">
        <w:rPr>
          <w:rFonts w:ascii="Courier New" w:eastAsia="Times New Roman" w:hAnsi="Courier New" w:cs="Courier New"/>
          <w:sz w:val="24"/>
          <w:szCs w:val="24"/>
          <w:lang w:val="pt-PT"/>
        </w:rPr>
        <w:t> </w:t>
      </w:r>
      <w:bookmarkStart w:id="2" w:name="_Hlk189514445"/>
    </w:p>
    <w:p w14:paraId="6E8EB8C2" w14:textId="6BED78AE" w:rsidR="00FE26B0" w:rsidRDefault="00FE26B0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987BD45" w14:textId="3C136FA7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A7570C">
        <w:rPr>
          <w:rFonts w:ascii="Courier New" w:eastAsia="Times New Roman" w:hAnsi="Courier New" w:cs="Courier New"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9C765D7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bookmarkEnd w:id="2"/>
    <w:sectPr w:rsidR="00DA06AD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9C3963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4219"/>
    <w:rsid w:val="00160C72"/>
    <w:rsid w:val="001D2EDC"/>
    <w:rsid w:val="002264D1"/>
    <w:rsid w:val="00310F1F"/>
    <w:rsid w:val="00326BA0"/>
    <w:rsid w:val="003623B1"/>
    <w:rsid w:val="00397205"/>
    <w:rsid w:val="003A4B5A"/>
    <w:rsid w:val="003B2350"/>
    <w:rsid w:val="004622F9"/>
    <w:rsid w:val="00466136"/>
    <w:rsid w:val="004B1E2A"/>
    <w:rsid w:val="004B22DF"/>
    <w:rsid w:val="004C372B"/>
    <w:rsid w:val="00583B8A"/>
    <w:rsid w:val="005C5D96"/>
    <w:rsid w:val="00686146"/>
    <w:rsid w:val="009C3963"/>
    <w:rsid w:val="009D1653"/>
    <w:rsid w:val="00A7570C"/>
    <w:rsid w:val="00AD2218"/>
    <w:rsid w:val="00B44887"/>
    <w:rsid w:val="00B619F8"/>
    <w:rsid w:val="00B8098E"/>
    <w:rsid w:val="00B94628"/>
    <w:rsid w:val="00BE0217"/>
    <w:rsid w:val="00CA27AD"/>
    <w:rsid w:val="00CD4E10"/>
    <w:rsid w:val="00D1095A"/>
    <w:rsid w:val="00DA06AD"/>
    <w:rsid w:val="00E05401"/>
    <w:rsid w:val="00E3047C"/>
    <w:rsid w:val="00E32DEB"/>
    <w:rsid w:val="00E83D9B"/>
    <w:rsid w:val="00F43ADD"/>
    <w:rsid w:val="00FC15F9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2026-02-03T19:58:00Z</cp:lastPrinted>
  <dcterms:created xsi:type="dcterms:W3CDTF">2026-02-19T20:14:00Z</dcterms:created>
  <dcterms:modified xsi:type="dcterms:W3CDTF">2026-02-20T18:50:00Z</dcterms:modified>
</cp:coreProperties>
</file>