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16068E9E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41FF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950C1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4399886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E679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4118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A39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73A909A3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575E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950C1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F378B40" w14:textId="05B3E093" w:rsidR="008D68AD" w:rsidRPr="008D68AD" w:rsidRDefault="008660D8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bookmarkStart w:id="1" w:name="_Hlk114471805"/>
      <w:bookmarkStart w:id="2" w:name="_Hlk138751912"/>
      <w:r w:rsidR="002B5852" w:rsidRPr="002B5852">
        <w:rPr>
          <w:rFonts w:ascii="Courier New" w:hAnsi="Courier New" w:cs="Courier New"/>
          <w:sz w:val="24"/>
          <w:szCs w:val="24"/>
        </w:rPr>
        <w:t xml:space="preserve"> </w:t>
      </w:r>
      <w:r w:rsidR="002B5852" w:rsidRPr="002B5852">
        <w:rPr>
          <w:rFonts w:ascii="Courier New" w:hAnsi="Courier New" w:cs="Courier New"/>
          <w:i/>
          <w:sz w:val="24"/>
          <w:szCs w:val="24"/>
        </w:rPr>
        <w:t>“</w:t>
      </w:r>
      <w:bookmarkEnd w:id="1"/>
      <w:r w:rsidR="002B5852" w:rsidRPr="002B5852">
        <w:rPr>
          <w:rFonts w:ascii="Courier New" w:hAnsi="Courier New" w:cs="Courier New"/>
          <w:i/>
          <w:sz w:val="24"/>
          <w:szCs w:val="24"/>
        </w:rPr>
        <w:t>Autoriza Município de Itanhangá a Firmar Contrato de Cessão de Uso de Bem Imóvel com o Sindicato Rural Patronal de Itanhangá-MT, e Dá Outras Providências”.</w:t>
      </w:r>
      <w:bookmarkEnd w:id="2"/>
      <w:r w:rsidR="002B5852" w:rsidRPr="002B5852">
        <w:rPr>
          <w:rFonts w:ascii="Courier New" w:hAnsi="Courier New" w:cs="Courier New"/>
          <w:sz w:val="24"/>
          <w:szCs w:val="24"/>
        </w:rPr>
        <w:t xml:space="preserve"> </w:t>
      </w:r>
      <w:r w:rsidR="00B741B1" w:rsidRPr="00B741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3" w:name="_Hlk129953284"/>
    </w:p>
    <w:bookmarkEnd w:id="3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7122289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4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DC3B04C" w14:textId="25227708" w:rsidR="002B5852" w:rsidRDefault="002B5852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C5E8C63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2B5852">
        <w:rPr>
          <w:rFonts w:ascii="Courier New" w:hAnsi="Courier New" w:cs="Courier New"/>
          <w:bCs/>
          <w:sz w:val="24"/>
          <w:szCs w:val="24"/>
        </w:rPr>
        <w:t xml:space="preserve">Fica o Poder Executivo autorizado a ceder o uso, a título gratuito, do imóvel a seguir descrito, ao </w:t>
      </w:r>
      <w:r w:rsidRPr="002B5852">
        <w:rPr>
          <w:rFonts w:ascii="Courier New" w:hAnsi="Courier New" w:cs="Courier New"/>
          <w:sz w:val="24"/>
          <w:szCs w:val="24"/>
        </w:rPr>
        <w:t>Sindicato Rural Patronal de Itanhangá-MT</w:t>
      </w:r>
      <w:r w:rsidRPr="002B5852">
        <w:rPr>
          <w:rFonts w:ascii="Courier New" w:hAnsi="Courier New" w:cs="Courier New"/>
          <w:bCs/>
          <w:sz w:val="24"/>
          <w:szCs w:val="24"/>
        </w:rPr>
        <w:t>, organização sindical, com sede neste Município de Itanhangá-MT, inscrito no CNPJ sob o nº 62.539.675/0001-60.</w:t>
      </w:r>
    </w:p>
    <w:p w14:paraId="723C752C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14681691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I. </w:t>
      </w:r>
      <w:r w:rsidRPr="002B5852">
        <w:rPr>
          <w:rFonts w:ascii="Courier New" w:hAnsi="Courier New" w:cs="Courier New"/>
          <w:bCs/>
          <w:sz w:val="24"/>
          <w:szCs w:val="24"/>
        </w:rPr>
        <w:t xml:space="preserve">Lote Urbano nº 01, Quadra 07, Centro, com área de 815,27 m², com edificação de alvenaria com área de 70m2 (setenta metros quadrados), situado a Avenida Rio Borges, fazendo parte da Matrícula nº 3.464, do Cartório do Registro de Imóveis da Comarca de </w:t>
      </w:r>
      <w:proofErr w:type="spellStart"/>
      <w:r w:rsidRPr="002B5852">
        <w:rPr>
          <w:rFonts w:ascii="Courier New" w:hAnsi="Courier New" w:cs="Courier New"/>
          <w:bCs/>
          <w:sz w:val="24"/>
          <w:szCs w:val="24"/>
        </w:rPr>
        <w:t>Tapurah</w:t>
      </w:r>
      <w:proofErr w:type="spellEnd"/>
      <w:r w:rsidRPr="002B5852">
        <w:rPr>
          <w:rFonts w:ascii="Courier New" w:hAnsi="Courier New" w:cs="Courier New"/>
          <w:bCs/>
          <w:sz w:val="24"/>
          <w:szCs w:val="24"/>
        </w:rPr>
        <w:t>.</w:t>
      </w:r>
    </w:p>
    <w:p w14:paraId="78367CA2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D584963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Art. 2º </w:t>
      </w:r>
      <w:r w:rsidRPr="002B5852">
        <w:rPr>
          <w:rFonts w:ascii="Courier New" w:hAnsi="Courier New" w:cs="Courier New"/>
          <w:bCs/>
          <w:sz w:val="24"/>
          <w:szCs w:val="24"/>
        </w:rPr>
        <w:t>O cessionário somente poderá realizar edificações no imóvel mediante autorização expressa do Município, atendidas as normas da legislação vigente.</w:t>
      </w:r>
    </w:p>
    <w:p w14:paraId="1F044298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017B7CB7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Art. 3º </w:t>
      </w:r>
      <w:r w:rsidRPr="002B5852">
        <w:rPr>
          <w:rFonts w:ascii="Courier New" w:hAnsi="Courier New" w:cs="Courier New"/>
          <w:bCs/>
          <w:sz w:val="24"/>
          <w:szCs w:val="24"/>
        </w:rPr>
        <w:t>A presente cessão de uso terá vigência por prazo de 20 (vinte) anos.</w:t>
      </w:r>
    </w:p>
    <w:p w14:paraId="796C347F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726D8EF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§ 1º </w:t>
      </w:r>
      <w:r w:rsidRPr="002B5852">
        <w:rPr>
          <w:rFonts w:ascii="Courier New" w:hAnsi="Courier New" w:cs="Courier New"/>
          <w:bCs/>
          <w:sz w:val="24"/>
          <w:szCs w:val="24"/>
        </w:rPr>
        <w:t xml:space="preserve">Em caso de interesse público justificado a entidade deverá retornar de imediato o uso do imóvel ao Município. </w:t>
      </w:r>
    </w:p>
    <w:p w14:paraId="385D2450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6846E295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§ 2º </w:t>
      </w:r>
      <w:r w:rsidRPr="002B5852">
        <w:rPr>
          <w:rFonts w:ascii="Courier New" w:hAnsi="Courier New" w:cs="Courier New"/>
          <w:bCs/>
          <w:sz w:val="24"/>
          <w:szCs w:val="24"/>
        </w:rPr>
        <w:t xml:space="preserve">Caso o imóvel não seja utilizado para o fim específico previsto no art. 1º da presente Lei, a concessão fica automaticamente revogada. </w:t>
      </w:r>
    </w:p>
    <w:p w14:paraId="026F5FF3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05C09D63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§ 3º </w:t>
      </w:r>
      <w:r w:rsidRPr="002B5852">
        <w:rPr>
          <w:rFonts w:ascii="Courier New" w:hAnsi="Courier New" w:cs="Courier New"/>
          <w:bCs/>
          <w:sz w:val="24"/>
          <w:szCs w:val="24"/>
        </w:rPr>
        <w:t>Revogada a cessão, o imóvel retornará ao Município com todas as suas benfeitorias, não tendo o cessionário direito a qualquer indenização</w:t>
      </w:r>
      <w:r w:rsidRPr="002B5852">
        <w:rPr>
          <w:rFonts w:ascii="Courier New" w:hAnsi="Courier New" w:cs="Courier New"/>
          <w:b/>
          <w:sz w:val="24"/>
          <w:szCs w:val="24"/>
        </w:rPr>
        <w:t>.</w:t>
      </w:r>
    </w:p>
    <w:p w14:paraId="4962839B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lastRenderedPageBreak/>
        <w:t xml:space="preserve">Art. 4º </w:t>
      </w:r>
      <w:r w:rsidRPr="002B5852">
        <w:rPr>
          <w:rFonts w:ascii="Courier New" w:hAnsi="Courier New" w:cs="Courier New"/>
          <w:bCs/>
          <w:sz w:val="24"/>
          <w:szCs w:val="24"/>
        </w:rPr>
        <w:t>Para receber a cessão de uso do imóvel descrito na presente Lei, a entidade não poderá estar em débito com a Fazenda Municipal</w:t>
      </w:r>
      <w:r w:rsidRPr="002B5852">
        <w:rPr>
          <w:rFonts w:ascii="Courier New" w:hAnsi="Courier New" w:cs="Courier New"/>
          <w:b/>
          <w:sz w:val="24"/>
          <w:szCs w:val="24"/>
        </w:rPr>
        <w:t>.</w:t>
      </w:r>
    </w:p>
    <w:p w14:paraId="635FBB52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6AA22A87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2B5852">
        <w:rPr>
          <w:rFonts w:ascii="Courier New" w:hAnsi="Courier New" w:cs="Courier New"/>
          <w:bCs/>
          <w:sz w:val="24"/>
          <w:szCs w:val="24"/>
        </w:rPr>
        <w:t>Fica expressamente vedado ao cessionário:</w:t>
      </w:r>
    </w:p>
    <w:p w14:paraId="6A4672E7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2BB2FD68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I - </w:t>
      </w:r>
      <w:proofErr w:type="gramStart"/>
      <w:r w:rsidRPr="002B5852">
        <w:rPr>
          <w:rFonts w:ascii="Courier New" w:hAnsi="Courier New" w:cs="Courier New"/>
          <w:bCs/>
          <w:sz w:val="24"/>
          <w:szCs w:val="24"/>
        </w:rPr>
        <w:t>transferir</w:t>
      </w:r>
      <w:proofErr w:type="gramEnd"/>
      <w:r w:rsidRPr="002B5852">
        <w:rPr>
          <w:rFonts w:ascii="Courier New" w:hAnsi="Courier New" w:cs="Courier New"/>
          <w:bCs/>
          <w:sz w:val="24"/>
          <w:szCs w:val="24"/>
        </w:rPr>
        <w:t>, ceder, locar ou sublocar o imóvel objeto da cessão, sem prévia e expressa autorização do Poder Executivo;</w:t>
      </w:r>
    </w:p>
    <w:p w14:paraId="0CB0516E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6330A9D9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II - </w:t>
      </w:r>
      <w:proofErr w:type="gramStart"/>
      <w:r w:rsidRPr="002B5852">
        <w:rPr>
          <w:rFonts w:ascii="Courier New" w:hAnsi="Courier New" w:cs="Courier New"/>
          <w:bCs/>
          <w:sz w:val="24"/>
          <w:szCs w:val="24"/>
        </w:rPr>
        <w:t>usar</w:t>
      </w:r>
      <w:proofErr w:type="gramEnd"/>
      <w:r w:rsidRPr="002B5852">
        <w:rPr>
          <w:rFonts w:ascii="Courier New" w:hAnsi="Courier New" w:cs="Courier New"/>
          <w:bCs/>
          <w:sz w:val="24"/>
          <w:szCs w:val="24"/>
        </w:rPr>
        <w:t xml:space="preserve"> o imóvel para atividades amorais ou político-partidárias;</w:t>
      </w:r>
    </w:p>
    <w:p w14:paraId="5CF0CF35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1D4A1B3E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III - </w:t>
      </w:r>
      <w:r w:rsidRPr="002B5852">
        <w:rPr>
          <w:rFonts w:ascii="Courier New" w:hAnsi="Courier New" w:cs="Courier New"/>
          <w:bCs/>
          <w:sz w:val="24"/>
          <w:szCs w:val="24"/>
        </w:rPr>
        <w:t>colocar no imóvel placas, bandeiras, cartazes, inscrições ou sinais de conotação amoral ou político-partidária.</w:t>
      </w: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F03DE15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126BAD30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Art. 6º </w:t>
      </w:r>
      <w:r w:rsidRPr="002B5852">
        <w:rPr>
          <w:rFonts w:ascii="Courier New" w:hAnsi="Courier New" w:cs="Courier New"/>
          <w:bCs/>
          <w:sz w:val="24"/>
          <w:szCs w:val="24"/>
        </w:rPr>
        <w:t xml:space="preserve">O cessionário será responsável pelas perdas e danos causados a terceiros e ao patrimônio </w:t>
      </w:r>
      <w:proofErr w:type="gramStart"/>
      <w:r w:rsidRPr="002B5852">
        <w:rPr>
          <w:rFonts w:ascii="Courier New" w:hAnsi="Courier New" w:cs="Courier New"/>
          <w:bCs/>
          <w:sz w:val="24"/>
          <w:szCs w:val="24"/>
        </w:rPr>
        <w:t>do concedente</w:t>
      </w:r>
      <w:proofErr w:type="gramEnd"/>
      <w:r w:rsidRPr="002B5852">
        <w:rPr>
          <w:rFonts w:ascii="Courier New" w:hAnsi="Courier New" w:cs="Courier New"/>
          <w:bCs/>
          <w:sz w:val="24"/>
          <w:szCs w:val="24"/>
        </w:rPr>
        <w:t>, na área de sua responsabilidade, ficando obrigado a mantê-lo e conservá-lo em perfeito estado de uso e conservação, ficando responsável pela regular conservação e manutenção e uso adequado.</w:t>
      </w:r>
    </w:p>
    <w:p w14:paraId="47DFD0F2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705FAAD4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Art. 7º </w:t>
      </w:r>
      <w:r w:rsidRPr="002B5852">
        <w:rPr>
          <w:rFonts w:ascii="Courier New" w:hAnsi="Courier New" w:cs="Courier New"/>
          <w:bCs/>
          <w:sz w:val="24"/>
          <w:szCs w:val="24"/>
        </w:rPr>
        <w:t>Durante a vigência da cessão, correrão por conta exclusiva do cessionário as despesas decorrentes do consumo de energia elétrica, telefone, água, manutenção e limpeza da área física do imóvel, e outras taxas que porventura possam ou vierem a incidir sobre o bem, assim como toda e qualquer manutenção necessária quanto à eventuais bens móveis que acompanharem a cessão.</w:t>
      </w: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21297BD5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4F8054BF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Parágrafo primeiro: </w:t>
      </w:r>
      <w:r w:rsidRPr="002B5852">
        <w:rPr>
          <w:rFonts w:ascii="Courier New" w:hAnsi="Courier New" w:cs="Courier New"/>
          <w:bCs/>
          <w:sz w:val="24"/>
          <w:szCs w:val="24"/>
        </w:rPr>
        <w:t>Fica o Cessionário autorizado a efetuar obras no Imóvel, mediante reformas, adequações, instalação de acessibilidade e ou ampliações, a qualquer tempo, com recursos próprios ou de convênios.</w:t>
      </w:r>
    </w:p>
    <w:p w14:paraId="09401056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79BF6AC3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 xml:space="preserve">Parágrafo Segundo: </w:t>
      </w:r>
      <w:r w:rsidRPr="002B5852">
        <w:rPr>
          <w:rFonts w:ascii="Courier New" w:hAnsi="Courier New" w:cs="Courier New"/>
          <w:bCs/>
          <w:sz w:val="24"/>
          <w:szCs w:val="24"/>
        </w:rPr>
        <w:t>Fica o Município autorizado, a efetuar investimentos em obras de adequação e ou ampliações no imóvel cedido de comum acordo com o Cessionário.</w:t>
      </w:r>
    </w:p>
    <w:p w14:paraId="3F6FAB88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B5852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3A146170" w14:textId="77777777" w:rsidR="002B5852" w:rsidRPr="002B5852" w:rsidRDefault="002B5852" w:rsidP="002B5852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B5852">
        <w:rPr>
          <w:rFonts w:ascii="Courier New" w:hAnsi="Courier New" w:cs="Courier New"/>
          <w:b/>
          <w:sz w:val="24"/>
          <w:szCs w:val="24"/>
        </w:rPr>
        <w:t>Art. 8º</w:t>
      </w:r>
      <w:r w:rsidRPr="002B5852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3AEAE825" w14:textId="77777777" w:rsidR="002B5852" w:rsidRPr="002B5852" w:rsidRDefault="002B5852" w:rsidP="002B58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2ED9BAB0" w14:textId="7C81AB45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4453481B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5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1A48BF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outu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6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E50CC68" w14:textId="66CBDFDF" w:rsidR="00EC7101" w:rsidRPr="00B741B1" w:rsidRDefault="008660D8" w:rsidP="002B585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Start w:id="7" w:name="_GoBack"/>
      <w:bookmarkEnd w:id="5"/>
      <w:bookmarkEnd w:id="6"/>
      <w:bookmarkEnd w:id="7"/>
    </w:p>
    <w:sectPr w:rsidR="00EC7101" w:rsidRPr="00B741B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2B585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C3AB1"/>
    <w:rsid w:val="000D1368"/>
    <w:rsid w:val="000D1D37"/>
    <w:rsid w:val="00111172"/>
    <w:rsid w:val="00114876"/>
    <w:rsid w:val="00122252"/>
    <w:rsid w:val="0013269D"/>
    <w:rsid w:val="00140592"/>
    <w:rsid w:val="001A48BF"/>
    <w:rsid w:val="001F2C52"/>
    <w:rsid w:val="00221012"/>
    <w:rsid w:val="00255C43"/>
    <w:rsid w:val="00274FA1"/>
    <w:rsid w:val="0029039A"/>
    <w:rsid w:val="002A3259"/>
    <w:rsid w:val="002B5852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33A9D"/>
    <w:rsid w:val="00446F7D"/>
    <w:rsid w:val="004575EF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5BEE"/>
    <w:rsid w:val="00726575"/>
    <w:rsid w:val="0074118B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C4391"/>
    <w:rsid w:val="009D3043"/>
    <w:rsid w:val="00A13D77"/>
    <w:rsid w:val="00A150B0"/>
    <w:rsid w:val="00A223DA"/>
    <w:rsid w:val="00A53351"/>
    <w:rsid w:val="00A645F5"/>
    <w:rsid w:val="00A64BE7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2025-09-18T18:19:00Z</cp:lastPrinted>
  <dcterms:created xsi:type="dcterms:W3CDTF">2025-10-20T22:30:00Z</dcterms:created>
  <dcterms:modified xsi:type="dcterms:W3CDTF">2025-10-20T22:41:00Z</dcterms:modified>
</cp:coreProperties>
</file>