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01CE7" w14:textId="241D32CD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B56FF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D426A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22E97C2E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2153B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19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E </w:t>
      </w:r>
      <w:r w:rsidR="002153B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="006B7E6D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1D625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193CDFB4" w:rsidR="00B84634" w:rsidRPr="001D625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6B7E6D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C24ACE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690C31" w:rsidRPr="001D625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</w:p>
    <w:p w14:paraId="1A765CF5" w14:textId="77777777" w:rsidR="00B84634" w:rsidRPr="001D625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B34F778" w14:textId="1B90A9EB" w:rsidR="00DA79EE" w:rsidRPr="00DA79EE" w:rsidRDefault="00B84634" w:rsidP="004A573F">
      <w:pPr>
        <w:spacing w:after="0" w:line="276" w:lineRule="auto"/>
        <w:ind w:right="3968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bookmarkStart w:id="0" w:name="_Hlk114471805"/>
      <w:r w:rsidR="004A573F"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4A573F" w:rsidRPr="004A573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“DISPÕE SOBRE A ALTERAÇÃO DA LEI Nº 436/2017, QUE TRATA SOBRE O SISTEMA ÚNICO DE ASSISTÊNCIA SOCIAL DO MUNICÍPIO DE ITANHANGÁ, E DÁ OUTRAS PROVIDÊNCIAS.</w:t>
      </w:r>
      <w:r w:rsidR="004A573F"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DA79EE" w:rsidRPr="00DA79EE">
        <w:rPr>
          <w:rFonts w:ascii="Courier New" w:eastAsiaTheme="minorHAnsi" w:hAnsi="Courier New" w:cs="Courier New"/>
          <w:sz w:val="24"/>
          <w:szCs w:val="24"/>
        </w:rPr>
        <w:t xml:space="preserve"> </w:t>
      </w:r>
    </w:p>
    <w:p w14:paraId="7FE5610A" w14:textId="1713BA80" w:rsidR="000D4EC1" w:rsidRPr="001D625A" w:rsidRDefault="001D625A" w:rsidP="007F4B46">
      <w:pPr>
        <w:spacing w:after="0" w:line="276" w:lineRule="auto"/>
        <w:ind w:right="2693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625A">
        <w:rPr>
          <w:rFonts w:ascii="Courier New" w:eastAsiaTheme="minorHAnsi" w:hAnsi="Courier New" w:cs="Courier New"/>
          <w:sz w:val="24"/>
          <w:szCs w:val="24"/>
        </w:rPr>
        <w:t xml:space="preserve"> </w:t>
      </w:r>
      <w:bookmarkEnd w:id="0"/>
    </w:p>
    <w:p w14:paraId="0F23BF90" w14:textId="77777777" w:rsidR="00B84634" w:rsidRPr="001D625A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78AAA3" w14:textId="1023DBFC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625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625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625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625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ABB1A8D" w14:textId="06F6826C" w:rsidR="004A573F" w:rsidRDefault="004A573F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9F60BA1" w14:textId="2F28E147" w:rsidR="004A573F" w:rsidRDefault="004A573F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9B5B85D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1º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 acrescido o inciso IV ao artigo 9º da Lei 436/2017, com a seguinte redação:</w:t>
      </w: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 </w:t>
      </w:r>
    </w:p>
    <w:p w14:paraId="1B6E70EC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76EEDCDB" w14:textId="77777777" w:rsidR="004A573F" w:rsidRPr="004A573F" w:rsidRDefault="004A573F" w:rsidP="004A573F">
      <w:pPr>
        <w:spacing w:after="0" w:line="276" w:lineRule="auto"/>
        <w:ind w:firstLine="1701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 xml:space="preserve">Art. 9º </w:t>
      </w:r>
      <w:proofErr w:type="gramStart"/>
      <w:r w:rsidRPr="004A573F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( . . .</w:t>
      </w:r>
      <w:proofErr w:type="gramEnd"/>
      <w:r w:rsidRPr="004A573F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)</w:t>
      </w:r>
    </w:p>
    <w:p w14:paraId="449BB691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bookmarkStart w:id="2" w:name="_GoBack"/>
      <w:bookmarkEnd w:id="2"/>
    </w:p>
    <w:p w14:paraId="24B7C001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V - Os serviços socioassistenciais de Proteção Social Básica, que poderão ser executados pelas Equipes Volantes.</w:t>
      </w:r>
    </w:p>
    <w:p w14:paraId="384DAC59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6D99ED6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2º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Ficam alterados o caput do artigo 13 e o parágrafo 1º, da Lei 436/2017, que passam a ter a seguinte redação:</w:t>
      </w:r>
    </w:p>
    <w:p w14:paraId="35AF3CAD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1EB796E3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Art. 13. As proteções sociais, básica e especial, serão ofertadas precipuamente no Centro de Referência de Assistência Social – CRAS e no Centro de Referência Especializado de Assistência Social – CREAS, respectivamente, e pelas entidades e organizações de assistência social, de forma complementar.</w:t>
      </w: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0424345F" w14:textId="77777777" w:rsidR="004A573F" w:rsidRPr="004A573F" w:rsidRDefault="004A573F" w:rsidP="004A573F">
      <w:pPr>
        <w:spacing w:after="0" w:line="276" w:lineRule="auto"/>
        <w:ind w:left="1701"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7BF9D2EF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§ 1º O CRAS é a unidade pública municipal, de base territorial, localizada em áreas com maiores índices de vulnerabilidade e risco social, destinada à articulação e execução de serviços, programas e projetos socioassistenciais de proteção social básica às famílias no seu território de abrangência.</w:t>
      </w:r>
    </w:p>
    <w:p w14:paraId="3A1E2465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3166FD0D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lastRenderedPageBreak/>
        <w:t xml:space="preserve">Art. 3º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 acrescido o inciso V ao artigo 16, da Lei 436/2017, com a seguinte redação:</w:t>
      </w:r>
    </w:p>
    <w:p w14:paraId="5706A4B4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34E96415" w14:textId="77777777" w:rsidR="004A573F" w:rsidRPr="004A573F" w:rsidRDefault="004A573F" w:rsidP="004A573F">
      <w:pPr>
        <w:spacing w:after="0" w:line="276" w:lineRule="auto"/>
        <w:ind w:firstLine="1701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 xml:space="preserve">Art. 16 </w:t>
      </w:r>
      <w:proofErr w:type="gramStart"/>
      <w:r w:rsidRPr="004A573F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( . . .</w:t>
      </w:r>
      <w:proofErr w:type="gramEnd"/>
      <w:r w:rsidRPr="004A573F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)</w:t>
      </w:r>
    </w:p>
    <w:p w14:paraId="78B15989" w14:textId="77777777" w:rsidR="004A573F" w:rsidRPr="004A573F" w:rsidRDefault="004A573F" w:rsidP="004A573F">
      <w:pPr>
        <w:spacing w:after="0" w:line="276" w:lineRule="auto"/>
        <w:ind w:firstLine="1701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</w:p>
    <w:p w14:paraId="46C4C9CA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V – Apoio e auxílio.</w:t>
      </w:r>
    </w:p>
    <w:p w14:paraId="067E2F51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31E9DD3D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4º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 alterado o inciso XVII do artigo 17, da Lei 436/2017, que passa a ter a seguinte redação:</w:t>
      </w:r>
    </w:p>
    <w:p w14:paraId="73D94A71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7209D6B8" w14:textId="77777777" w:rsidR="004A573F" w:rsidRPr="004A573F" w:rsidRDefault="004A573F" w:rsidP="004A573F">
      <w:pPr>
        <w:spacing w:after="0" w:line="276" w:lineRule="auto"/>
        <w:ind w:left="993" w:firstLine="708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 xml:space="preserve">Art. 17 </w:t>
      </w:r>
      <w:proofErr w:type="gramStart"/>
      <w:r w:rsidRPr="004A573F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( . . .</w:t>
      </w:r>
      <w:proofErr w:type="gramEnd"/>
      <w:r w:rsidRPr="004A573F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)</w:t>
      </w:r>
    </w:p>
    <w:p w14:paraId="7E7F52D7" w14:textId="77777777" w:rsidR="004A573F" w:rsidRPr="004A573F" w:rsidRDefault="004A573F" w:rsidP="004A573F">
      <w:pPr>
        <w:spacing w:after="0" w:line="276" w:lineRule="auto"/>
        <w:ind w:firstLine="1701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</w:p>
    <w:p w14:paraId="759A0800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shd w:val="clear" w:color="auto" w:fill="FFFFFF"/>
          <w:lang w:eastAsia="pt-BR"/>
        </w:rPr>
        <w:t>XVII – Gerir no âmbito municipal, o Cadastro Único para Programas Sociais do Governo Federal e do Programa Bolsa Família, nos termos da Lei vigente.</w:t>
      </w:r>
    </w:p>
    <w:p w14:paraId="3131D89E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04FFF89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5º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 alterado o caput do artigo 19, o parágrafo 1º e o seu inciso I e acrescentado o inciso II, bem como alterado o parágrafo 2º e os incisos I, II, III e acrescido o inciso IV, alterando-se, ainda os parágrafos 4º e 5º da Lei 436/2017, que passam a ter a seguinte redação:</w:t>
      </w: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780B1850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5CB0A454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Art. 19. Fica instituído o Conselho Municipal de Assistência Social – CMAS do Município de Itanhangá, órgão superior de deliberação colegiada, de caráter permanente e composição paritária entre governo e sociedade civil, vinculado à Secretaria Municipal de Assistência Social cujos membros, nomeados pelo Prefeito, têm mandato de 2 (dois) anos, permitida única recondução por igual período.</w:t>
      </w: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7F9D20AD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49FB77D8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§ 1º O CMAS é composto por 06</w:t>
      </w: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membros e respectivos suplentes indicados de acordo com os critérios seguintes:</w:t>
      </w:r>
    </w:p>
    <w:p w14:paraId="4F3181FE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3954D606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I - 03 representantes governamentais;</w:t>
      </w:r>
    </w:p>
    <w:p w14:paraId="06A37B7A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48C49BE3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II - 03 representantes da sociedade civil, observado as Resoluções do Conselho Nacional de Assistência Social, dentre representantes dos usuários ou de organizações de usuários, das entidades e organizações de assistência social e dos trabalhadores do setor, escolhidos em foro próprio sob fiscalização do Ministério Público.</w:t>
      </w: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399D1F85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5BCEF2CD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lastRenderedPageBreak/>
        <w:t>§2º Consideram-se para fins de representação no Conselho Municipal o segmento:</w:t>
      </w:r>
    </w:p>
    <w:p w14:paraId="2D45993C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621468D0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I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ab/>
        <w:t>de usuários: àqueles vinculados aos serviços, programas, projetos e benefícios da política de assistência social, organizados, sob diversas formas, em grupos que têm como objetivo a luta por direitos; de organizações de usuários: aquelas que tenham entre seus objetivos a defesa e garantia de direitos de indivíduos e grupos vinculados à política de assistência social;</w:t>
      </w:r>
    </w:p>
    <w:p w14:paraId="4405E17B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30A8176F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II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ab/>
        <w:t>de organizações e entidades de Assistência Social: aquelas sem fins lucrativos que, isolada ou cumulativamente, prestam atendimento e assessoramento aos beneficiários abrangidos por esta Lei, bem como as que atuam na defesa e garantia de direitos, conforme art. 3º da LOAS.</w:t>
      </w:r>
    </w:p>
    <w:p w14:paraId="3B97B871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468BACF4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III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ab/>
        <w:t>de trabalhadores: são legítimas todas as formas de organização de trabalhadores do setor, como associações de trabalhadores, sindicatos, federações, conselhos regionais de profissões regulamentadas, fóruns de trabalhadores, que defendem e representam os interesses dos trabalhadores da política de assistência social.</w:t>
      </w: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7776E7AD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27A2CC4A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§4º O CMAS é presidido por um de seus integrantes, eleito dentre seus membros, para mandato de 1 (um) ano, permitida única recondução por igual período.</w:t>
      </w:r>
    </w:p>
    <w:p w14:paraId="2B83F0DA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7FBB96FC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§5° Deve-se observar, ao término de cada mandato de 02 anos do Conselho, a alternância entre a representação do governo e da sociedade civil, no exercício da função de Presidente e vice-presidente.</w:t>
      </w:r>
    </w:p>
    <w:p w14:paraId="5A9C3FCD" w14:textId="77777777" w:rsidR="004A573F" w:rsidRPr="004A573F" w:rsidRDefault="004A573F" w:rsidP="004A573F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374877DC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6º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 acrescido o artigo 19-A na Lei 436/2017, com a seguinte redação:</w:t>
      </w:r>
    </w:p>
    <w:p w14:paraId="722B0B56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785EC8F7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Art. 19ª – O Conselho Municipal de Assistência Social será composto por representantes do Poder Público Municipal, Titulares e respectivos suplentes, e por representantes da sociedade civil vinculados à assistência social, sendo:</w:t>
      </w:r>
    </w:p>
    <w:p w14:paraId="6750AD21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D0EBF81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lastRenderedPageBreak/>
        <w:t>I – Governamental:</w:t>
      </w:r>
    </w:p>
    <w:p w14:paraId="59D57CA5" w14:textId="77777777" w:rsidR="004A573F" w:rsidRPr="004A573F" w:rsidRDefault="004A573F" w:rsidP="004A573F">
      <w:pPr>
        <w:numPr>
          <w:ilvl w:val="0"/>
          <w:numId w:val="15"/>
        </w:num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01 (um) Representante da Secretaria Municipal de Assistência Social e Trabalho;</w:t>
      </w:r>
    </w:p>
    <w:p w14:paraId="6E1BBC67" w14:textId="77777777" w:rsidR="004A573F" w:rsidRPr="004A573F" w:rsidRDefault="004A573F" w:rsidP="004A573F">
      <w:pPr>
        <w:numPr>
          <w:ilvl w:val="0"/>
          <w:numId w:val="15"/>
        </w:num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01 (um</w:t>
      </w:r>
      <w:proofErr w:type="gramStart"/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) ,,Representante</w:t>
      </w:r>
      <w:proofErr w:type="gramEnd"/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da Secretaria Municipal de Saúde;</w:t>
      </w:r>
    </w:p>
    <w:p w14:paraId="39179BED" w14:textId="77777777" w:rsidR="004A573F" w:rsidRPr="004A573F" w:rsidRDefault="004A573F" w:rsidP="004A573F">
      <w:pPr>
        <w:numPr>
          <w:ilvl w:val="0"/>
          <w:numId w:val="15"/>
        </w:num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01 (um) Representante da Secretaria Municipal de </w:t>
      </w:r>
      <w:proofErr w:type="gramStart"/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Educação;,</w:t>
      </w:r>
      <w:proofErr w:type="gramEnd"/>
    </w:p>
    <w:p w14:paraId="59C5AB23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0F4347F7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I </w:t>
      </w:r>
      <w:proofErr w:type="gramStart"/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-  Não</w:t>
      </w:r>
      <w:proofErr w:type="gramEnd"/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governamental:</w:t>
      </w:r>
    </w:p>
    <w:p w14:paraId="232C97F0" w14:textId="77777777" w:rsidR="004A573F" w:rsidRPr="004A573F" w:rsidRDefault="004A573F" w:rsidP="004A573F">
      <w:pPr>
        <w:numPr>
          <w:ilvl w:val="0"/>
          <w:numId w:val="16"/>
        </w:num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01 (um) representante de usuários ou de organização de usuários de Assistência Social;</w:t>
      </w:r>
    </w:p>
    <w:p w14:paraId="00CD976D" w14:textId="77777777" w:rsidR="004A573F" w:rsidRPr="004A573F" w:rsidRDefault="004A573F" w:rsidP="004A573F">
      <w:pPr>
        <w:numPr>
          <w:ilvl w:val="0"/>
          <w:numId w:val="16"/>
        </w:num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01 (um) representante de entidades e organizações de Assistência Social;</w:t>
      </w:r>
    </w:p>
    <w:p w14:paraId="6A36DDC7" w14:textId="77777777" w:rsidR="004A573F" w:rsidRPr="004A573F" w:rsidRDefault="004A573F" w:rsidP="004A573F">
      <w:pPr>
        <w:numPr>
          <w:ilvl w:val="0"/>
          <w:numId w:val="16"/>
        </w:num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01 (um) representante dos trabalhadores da Assistência Social;</w:t>
      </w:r>
    </w:p>
    <w:p w14:paraId="55E70970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1B61F371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§ 1º Os representantes do Poder Público Municipal serão indicados e nomeados pelo Chefe do Poder Executivo, dentre os quais detenham efetivo poder de representação e decisão no âmbito da Administração Pública.</w:t>
      </w:r>
    </w:p>
    <w:p w14:paraId="17C50328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7C16C57B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§ 2º Os Conselheiros representantes da sociedade civil e entidades não governamentais assim como de representação do Poder Público serão nomeados pelo Chefe do Poder Executivo Municipal e empossados pelo Titular da Pasta da Política de Assistência Social em prazo adequado e suficiente para não existir descontinuidade em sua representação.</w:t>
      </w:r>
    </w:p>
    <w:p w14:paraId="10A3097B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59AF68A8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§ 3º Fica impedido de representar o segmento dos trabalhadores na composição dos conselhos e no processo de conferência o profissional que estiver no exercício do cargo de designação, função de confiança, cargo em comissão ou de direção na gestão de Rede Socioassistencial Pública ou de Organizações da Sociedade Civil;</w:t>
      </w:r>
    </w:p>
    <w:p w14:paraId="394EDEFB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21CD16E1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§ 4º O CMAS terá no FMAS uma rubrica orçamentária própria para custeio da sua manutenção e funcionamento permanente, inclusive para pagamento de despesa referente à passagens e diárias de conselheiros representantes do governo ou da sociedade civil, quando estiverem no exercício de suas atribuições.</w:t>
      </w:r>
    </w:p>
    <w:p w14:paraId="53F38B75" w14:textId="77777777" w:rsidR="004A573F" w:rsidRPr="004A573F" w:rsidRDefault="004A573F" w:rsidP="004A573F">
      <w:pPr>
        <w:spacing w:after="0" w:line="276" w:lineRule="auto"/>
        <w:ind w:left="855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4139D98D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35BCC17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7º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 alterado o caput do artigo 20, da Lei 436/2017, que passa a ter a seguinte redação:</w:t>
      </w: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53B16E56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58E2CD3B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Art. 20. O CMAS reunir-se-á obrigatoriamente, uma vez ao mês e, extraordinariamente,</w:t>
      </w: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sempre que necessário, e funcionará de acordo com o Regimento Interno, no qual definirá o quórum mínimo, respeitando a paridade. </w:t>
      </w:r>
    </w:p>
    <w:p w14:paraId="0FE8312B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59B30534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8º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 alterado o caput do artigo 23, bem como os incisos XXVIII, XXIX da Lei 436/2017, que passam a ter a seguinte redação:</w:t>
      </w:r>
    </w:p>
    <w:p w14:paraId="43DB79C7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55DB919F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Art. 23. Compete ao Conselho Municipal de Assistência Social, além daquelas previstas na Lei Orgânica da Assistência Social, Norma operacional básica – NOB SUAS e Resoluções do Conselho Nacional de Assistência Social:</w:t>
      </w:r>
    </w:p>
    <w:p w14:paraId="636E61CB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CAA8B34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XXVIII – notificar fundamentadamente a entidade ou organização de assistência social no caso de indeferimento do requerimento de inscrição;</w:t>
      </w:r>
    </w:p>
    <w:p w14:paraId="55AB174A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1FA96413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XXIX – fiscalizar as entidades e organização de assistência social;</w:t>
      </w:r>
    </w:p>
    <w:p w14:paraId="4070FFD9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4A140498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9º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 alterado o artigo 25, da Lei 436/2017, que passa a ter a seguinte redação:</w:t>
      </w: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7D01101C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2CD3FAA8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Art. 25. A Conferência Municipal de Assistência Social é instância máxima de debate, de formulação e de avaliação da política pública de assistência social e definição de diretrizes para o aprimoramento do SUAS, com a participação de representantes do governo e da sociedade civil.</w:t>
      </w:r>
    </w:p>
    <w:p w14:paraId="5B43DBDE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5556AF82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10 -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 alterado o título da Secção VII do Capítulo V, que passa a ter a seguinte redação:</w:t>
      </w:r>
    </w:p>
    <w:p w14:paraId="79980296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57A83811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Secção VII</w:t>
      </w:r>
    </w:p>
    <w:p w14:paraId="6B7BBC84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Entidades e Organizações de Assistência Social</w:t>
      </w: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04FBF3B7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50C16C5A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11 -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 alterado o artigo 53, da Lei 436/2017, que passa a ter a seguinte redação:</w:t>
      </w: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27668D5E" w14:textId="77777777" w:rsidR="004A573F" w:rsidRPr="004A573F" w:rsidRDefault="004A573F" w:rsidP="004A573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244A0C5E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lastRenderedPageBreak/>
        <w:t xml:space="preserve">Art. 53. Fica criado o Fundo Municipal de Assistência Social – FMAS, fundo público de gestão orçamentária, financeira e contábil, com objetivo de proporcionar recursos para </w:t>
      </w:r>
      <w:proofErr w:type="spellStart"/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cofinanciar</w:t>
      </w:r>
      <w:proofErr w:type="spellEnd"/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a gestão, serviços, programas, projetos e benefícios socioassistenciais.</w:t>
      </w:r>
    </w:p>
    <w:p w14:paraId="47C934FC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0D02824A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12 - </w:t>
      </w: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>Fica alterado o artigo 59, da Lei 436/2017, que passa a ter a seguinte redação:</w:t>
      </w:r>
      <w:r w:rsidRPr="004A573F">
        <w:rPr>
          <w:rFonts w:ascii="Times New Roman" w:eastAsia="Times New Roman" w:hAnsi="Times New Roman"/>
          <w:b/>
          <w:sz w:val="24"/>
          <w:szCs w:val="20"/>
          <w:lang w:eastAsia="pt-BR"/>
        </w:rPr>
        <w:t xml:space="preserve"> </w:t>
      </w:r>
    </w:p>
    <w:p w14:paraId="344D0316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097C314C" w14:textId="77777777" w:rsidR="004A573F" w:rsidRPr="004A573F" w:rsidRDefault="004A573F" w:rsidP="004A573F">
      <w:pPr>
        <w:spacing w:after="0" w:line="276" w:lineRule="auto"/>
        <w:ind w:left="1701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Art. 59. Revogam-se as disposições em contrário, em especial a Lei Municipal nº 309/2013, de 04 de julho de 2013.  </w:t>
      </w:r>
    </w:p>
    <w:p w14:paraId="7C7BDCF7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</w:pPr>
    </w:p>
    <w:p w14:paraId="36D8DDF3" w14:textId="77777777" w:rsidR="004A573F" w:rsidRPr="004A573F" w:rsidRDefault="004A573F" w:rsidP="004A573F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shd w:val="clear" w:color="auto" w:fill="FFFFFF"/>
          <w:lang w:eastAsia="pt-BR"/>
        </w:rPr>
        <w:t xml:space="preserve">Art. 13 </w:t>
      </w:r>
      <w:r w:rsidRPr="004A573F">
        <w:rPr>
          <w:rFonts w:ascii="Courier New" w:eastAsia="Times New Roman" w:hAnsi="Courier New" w:cs="Courier New"/>
          <w:sz w:val="24"/>
          <w:szCs w:val="24"/>
          <w:shd w:val="clear" w:color="auto" w:fill="FFFFFF"/>
          <w:lang w:eastAsia="pt-BR"/>
        </w:rPr>
        <w:t xml:space="preserve">- Esta Lei entra em vigor na data de sua publicação, </w:t>
      </w: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>revogando-se as disposições em contrário.</w:t>
      </w:r>
    </w:p>
    <w:p w14:paraId="38C7949C" w14:textId="77777777" w:rsidR="004A573F" w:rsidRPr="004A573F" w:rsidRDefault="004A573F" w:rsidP="004A573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D3A2022" w14:textId="77777777" w:rsidR="004A573F" w:rsidRDefault="004A573F" w:rsidP="004A573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00037CB" w14:textId="06B5C02F" w:rsidR="004A573F" w:rsidRPr="004A573F" w:rsidRDefault="004A573F" w:rsidP="004A573F">
      <w:pPr>
        <w:spacing w:after="0" w:line="276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19 de junho de 2024.</w:t>
      </w:r>
    </w:p>
    <w:p w14:paraId="43692589" w14:textId="77777777" w:rsidR="004A573F" w:rsidRPr="004A573F" w:rsidRDefault="004A573F" w:rsidP="004A573F">
      <w:pPr>
        <w:spacing w:after="0" w:line="240" w:lineRule="auto"/>
        <w:jc w:val="center"/>
        <w:rPr>
          <w:sz w:val="24"/>
          <w:szCs w:val="24"/>
        </w:rPr>
      </w:pPr>
    </w:p>
    <w:p w14:paraId="33D1DADA" w14:textId="77777777" w:rsidR="004A573F" w:rsidRPr="004A573F" w:rsidRDefault="004A573F" w:rsidP="004A573F">
      <w:pPr>
        <w:spacing w:after="0" w:line="240" w:lineRule="auto"/>
        <w:jc w:val="center"/>
        <w:rPr>
          <w:sz w:val="24"/>
          <w:szCs w:val="24"/>
        </w:rPr>
      </w:pPr>
      <w:r w:rsidRPr="004A573F">
        <w:rPr>
          <w:sz w:val="24"/>
          <w:szCs w:val="24"/>
        </w:rPr>
        <w:tab/>
      </w:r>
    </w:p>
    <w:p w14:paraId="14C5AE1F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B5955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72EAEF4" w14:textId="77777777" w:rsidR="004A573F" w:rsidRPr="004A573F" w:rsidRDefault="004A573F" w:rsidP="004A573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4FA8ECB" w14:textId="77777777" w:rsidR="004A573F" w:rsidRPr="004A573F" w:rsidRDefault="004A573F" w:rsidP="004A573F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A57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4B44FEE0" w14:textId="77777777" w:rsidR="004A573F" w:rsidRPr="004A573F" w:rsidRDefault="004A573F" w:rsidP="004A57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30F2BE67" w14:textId="77777777" w:rsidR="004A573F" w:rsidRPr="004A573F" w:rsidRDefault="004A573F" w:rsidP="004A573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4"/>
          <w:szCs w:val="24"/>
        </w:rPr>
      </w:pPr>
    </w:p>
    <w:p w14:paraId="0FCD978C" w14:textId="47C84658" w:rsidR="001D625A" w:rsidRPr="001D625A" w:rsidRDefault="001D625A" w:rsidP="001D625A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sectPr w:rsidR="001D625A" w:rsidRPr="001D625A" w:rsidSect="007719FB">
      <w:headerReference w:type="default" r:id="rId7"/>
      <w:footerReference w:type="default" r:id="rId8"/>
      <w:pgSz w:w="11906" w:h="16838"/>
      <w:pgMar w:top="1418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DA79EE" w:rsidRDefault="00DA79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DA79EE" w:rsidRDefault="00DA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DA79EE" w:rsidRDefault="00DA79EE" w:rsidP="00DA79EE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70146EC0" w14:textId="0995B0E5" w:rsidR="00DA79EE" w:rsidRDefault="00D426A8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 w:rsidR="00DA79EE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DA79EE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DA79EE"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DA79EE" w:rsidRDefault="00DA79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DA79EE" w:rsidRDefault="00DA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358E510" w:rsidR="00DA79EE" w:rsidRDefault="00D426A8" w:rsidP="00DA79EE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DA79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DA79EE" w:rsidRDefault="00DA79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DA79EE" w:rsidRDefault="00DA79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A79EE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5" name="Imagem 5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9EE" w:rsidRPr="008E3D76">
      <w:t xml:space="preserve"> </w:t>
    </w:r>
    <w:r w:rsidR="00DA79EE">
      <w:rPr>
        <w:b/>
        <w:color w:val="0000FF"/>
        <w:sz w:val="44"/>
        <w:szCs w:val="44"/>
        <w:lang w:eastAsia="pt-BR"/>
      </w:rPr>
      <w:tab/>
    </w:r>
    <w:r w:rsidR="00DA79EE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DA79EE" w:rsidRDefault="00DA79EE" w:rsidP="00DA79EE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DA79EE" w:rsidRDefault="00DA79EE" w:rsidP="00DA79EE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A2016C" w14:textId="1D94E03B" w:rsidR="00DA79EE" w:rsidRPr="00502B75" w:rsidRDefault="00DA79EE" w:rsidP="00DA79EE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044C87"/>
    <w:multiLevelType w:val="hybridMultilevel"/>
    <w:tmpl w:val="8E7CB570"/>
    <w:lvl w:ilvl="0" w:tplc="0FD6C8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2A0"/>
    <w:multiLevelType w:val="hybridMultilevel"/>
    <w:tmpl w:val="8012B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2527F20"/>
    <w:multiLevelType w:val="hybridMultilevel"/>
    <w:tmpl w:val="F90622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BC5C1D"/>
    <w:multiLevelType w:val="hybridMultilevel"/>
    <w:tmpl w:val="9AAC52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D019A"/>
    <w:multiLevelType w:val="hybridMultilevel"/>
    <w:tmpl w:val="B3287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F4FAC"/>
    <w:multiLevelType w:val="hybridMultilevel"/>
    <w:tmpl w:val="F6D29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6524B"/>
    <w:multiLevelType w:val="hybridMultilevel"/>
    <w:tmpl w:val="36FA99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33382"/>
    <w:multiLevelType w:val="hybridMultilevel"/>
    <w:tmpl w:val="73BC919A"/>
    <w:lvl w:ilvl="0" w:tplc="0E785370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0E11"/>
    <w:multiLevelType w:val="hybridMultilevel"/>
    <w:tmpl w:val="B9AEB6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8653F16"/>
    <w:multiLevelType w:val="hybridMultilevel"/>
    <w:tmpl w:val="85163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14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70"/>
    <w:rsid w:val="000D4EC1"/>
    <w:rsid w:val="001267F6"/>
    <w:rsid w:val="001D625A"/>
    <w:rsid w:val="002153BA"/>
    <w:rsid w:val="0027400A"/>
    <w:rsid w:val="00286989"/>
    <w:rsid w:val="002A3259"/>
    <w:rsid w:val="002E7AB1"/>
    <w:rsid w:val="0032188C"/>
    <w:rsid w:val="00326C51"/>
    <w:rsid w:val="003D4F50"/>
    <w:rsid w:val="00433A9D"/>
    <w:rsid w:val="004852BD"/>
    <w:rsid w:val="004A573F"/>
    <w:rsid w:val="004C5F26"/>
    <w:rsid w:val="00502B75"/>
    <w:rsid w:val="00534271"/>
    <w:rsid w:val="00561654"/>
    <w:rsid w:val="005B62D2"/>
    <w:rsid w:val="005C6D2F"/>
    <w:rsid w:val="0064715A"/>
    <w:rsid w:val="0067179E"/>
    <w:rsid w:val="00690C31"/>
    <w:rsid w:val="006B7E6D"/>
    <w:rsid w:val="006C7AAC"/>
    <w:rsid w:val="00701CD3"/>
    <w:rsid w:val="0072112D"/>
    <w:rsid w:val="00733313"/>
    <w:rsid w:val="007719FB"/>
    <w:rsid w:val="007B6CA7"/>
    <w:rsid w:val="007F4B46"/>
    <w:rsid w:val="008246B1"/>
    <w:rsid w:val="00854FB7"/>
    <w:rsid w:val="00855E60"/>
    <w:rsid w:val="009321D3"/>
    <w:rsid w:val="00966B5C"/>
    <w:rsid w:val="009C37DE"/>
    <w:rsid w:val="00A930AB"/>
    <w:rsid w:val="00B56FFF"/>
    <w:rsid w:val="00B67FB7"/>
    <w:rsid w:val="00B84634"/>
    <w:rsid w:val="00C060EE"/>
    <w:rsid w:val="00C24ACE"/>
    <w:rsid w:val="00C36C8B"/>
    <w:rsid w:val="00C45946"/>
    <w:rsid w:val="00C50689"/>
    <w:rsid w:val="00C86A47"/>
    <w:rsid w:val="00CA10C9"/>
    <w:rsid w:val="00CC2BF8"/>
    <w:rsid w:val="00CF2A90"/>
    <w:rsid w:val="00D426A8"/>
    <w:rsid w:val="00D81C11"/>
    <w:rsid w:val="00DA79EE"/>
    <w:rsid w:val="00DB5E26"/>
    <w:rsid w:val="00EA768A"/>
    <w:rsid w:val="00EF7C58"/>
    <w:rsid w:val="00F1237B"/>
    <w:rsid w:val="00F40990"/>
    <w:rsid w:val="00F644C5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F6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4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1355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2024-06-19T17:26:00Z</cp:lastPrinted>
  <dcterms:created xsi:type="dcterms:W3CDTF">2024-06-19T17:03:00Z</dcterms:created>
  <dcterms:modified xsi:type="dcterms:W3CDTF">2024-06-19T17:27:00Z</dcterms:modified>
</cp:coreProperties>
</file>